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賃金規程</w:t>
      </w:r>
    </w:p>
    <w:p>
      <w:pPr>
        <w:spacing w:before="0" w:after="80"/>
        <w:jc w:val="center"/>
      </w:pPr>
      <w:r>
        <w:rPr>
          <w:rFonts w:ascii="Yu Gothic" w:hAnsi="Yu Gothic" w:eastAsia="Yu Gothic"/>
          <w:b w:val="0"/>
          <w:i w:val="0"/>
          <w:color w:val="66707A"/>
          <w:sz w:val="18"/>
        </w:rPr>
        <w:t>就業規則に基づく賃金に関する定め（労働基準法第89条第2号ほか）</w:t>
      </w:r>
    </w:p>
    <w:p>
      <w:pPr>
        <w:spacing w:before="0" w:after="160" w:line="248" w:lineRule="exact"/>
      </w:pPr>
      <w:r>
        <w:rPr>
          <w:rFonts w:ascii="Yu Gothic" w:hAnsi="Yu Gothic" w:eastAsia="Yu Gothic"/>
          <w:b w:val="0"/>
          <w:i w:val="0"/>
          <w:color w:val="1A1A1A"/>
          <w:sz w:val="17"/>
        </w:rPr>
        <w:t>本規程は、就業規則（簡易版・標準版・詳細版いずれも「賃金については『賃金規程』（別規定）を定め、その定めに従う」と規定）を受けて、賃金に関する事項を定めるものです。本規程は就業規則の一部として、就業規則本体とあわせて労働基準監督署へ届け出てください（労基法89条2号・90条）。</w:t>
      </w:r>
    </w:p>
    <w:p>
      <w:pPr>
        <w:spacing w:before="40" w:after="80"/>
        <w:pBdr>
          <w:top w:val="double" w:sz="8" w:space="1" w:color="1B3A5C"/>
        </w:pBdr>
        <w:jc w:val="left"/>
      </w:pPr>
      <w:r>
        <w:rPr>
          <w:rFonts w:ascii="Yu Gothic" w:hAnsi="Yu Gothic" w:eastAsia="Yu Gothic"/>
          <w:b/>
          <w:i w:val="0"/>
          <w:color w:val="1B3A5C"/>
          <w:sz w:val="24"/>
          <w:spacing w:val="24"/>
        </w:rPr>
        <w:t>第1章　総則</w:t>
      </w:r>
    </w:p>
    <w:p>
      <w:pPr>
        <w:spacing w:before="60" w:after="40"/>
        <w:pBdr>
          <w:top w:val="double" w:sz="8" w:space="1" w:color="1B3A5C"/>
        </w:pBdr>
      </w:pPr>
      <w:r>
        <w:rPr>
          <w:rFonts w:ascii="Yu Gothic" w:hAnsi="Yu Gothic" w:eastAsia="Yu Gothic"/>
          <w:b/>
          <w:i w:val="0"/>
          <w:color w:val="1B3A5C"/>
          <w:sz w:val="22"/>
        </w:rPr>
        <w:t>第1条（目的）</w:t>
      </w:r>
    </w:p>
    <w:p>
      <w:pPr>
        <w:spacing w:before="0" w:after="60" w:line="248" w:lineRule="exact"/>
      </w:pPr>
      <w:r>
        <w:rPr>
          <w:rFonts w:ascii="Yu Gothic" w:hAnsi="Yu Gothic" w:eastAsia="Yu Gothic"/>
          <w:b w:val="0"/>
          <w:i w:val="0"/>
          <w:color w:val="1A1A1A"/>
          <w:sz w:val="17"/>
        </w:rPr>
        <w:t>本規程は、就業規則の定めに基づき、労働者の賃金に関する事項を定める（労働基準法第89条第2号）。</w:t>
      </w:r>
    </w:p>
    <w:p>
      <w:pPr>
        <w:spacing w:before="60" w:after="40"/>
        <w:pBdr>
          <w:top w:val="double" w:sz="8" w:space="1" w:color="1B3A5C"/>
        </w:pBdr>
      </w:pPr>
      <w:r>
        <w:rPr>
          <w:rFonts w:ascii="Yu Gothic" w:hAnsi="Yu Gothic" w:eastAsia="Yu Gothic"/>
          <w:b/>
          <w:i w:val="0"/>
          <w:color w:val="1B3A5C"/>
          <w:sz w:val="22"/>
        </w:rPr>
        <w:t>第2条（適用範囲）</w:t>
      </w:r>
    </w:p>
    <w:p>
      <w:pPr>
        <w:spacing w:before="0" w:after="60" w:line="248" w:lineRule="exact"/>
      </w:pPr>
      <w:r>
        <w:rPr>
          <w:rFonts w:ascii="Yu Gothic" w:hAnsi="Yu Gothic" w:eastAsia="Yu Gothic"/>
          <w:b w:val="0"/>
          <w:i w:val="0"/>
          <w:color w:val="1A1A1A"/>
          <w:sz w:val="17"/>
        </w:rPr>
        <w:t>本規程は、就業規則の適用を受ける労働者に適用する。</w:t>
      </w:r>
    </w:p>
    <w:p>
      <w:pPr>
        <w:spacing w:before="200" w:after="80"/>
        <w:pBdr>
          <w:top w:val="double" w:sz="8" w:space="1" w:color="1B3A5C"/>
        </w:pBdr>
        <w:jc w:val="left"/>
      </w:pPr>
      <w:r>
        <w:rPr>
          <w:rFonts w:ascii="Yu Gothic" w:hAnsi="Yu Gothic" w:eastAsia="Yu Gothic"/>
          <w:b/>
          <w:i w:val="0"/>
          <w:color w:val="1B3A5C"/>
          <w:sz w:val="24"/>
          <w:spacing w:val="24"/>
        </w:rPr>
        <w:t>第2章　賃金の構成</w:t>
      </w:r>
    </w:p>
    <w:p>
      <w:pPr>
        <w:spacing w:before="60" w:after="40"/>
        <w:pBdr>
          <w:top w:val="double" w:sz="8" w:space="1" w:color="1B3A5C"/>
        </w:pBdr>
      </w:pPr>
      <w:r>
        <w:rPr>
          <w:rFonts w:ascii="Yu Gothic" w:hAnsi="Yu Gothic" w:eastAsia="Yu Gothic"/>
          <w:b/>
          <w:i w:val="0"/>
          <w:color w:val="1B3A5C"/>
          <w:sz w:val="22"/>
        </w:rPr>
        <w:t>第3条（賃金の構成）</w:t>
      </w:r>
    </w:p>
    <w:p>
      <w:pPr>
        <w:spacing w:before="0" w:after="60" w:line="248" w:lineRule="exact"/>
      </w:pPr>
      <w:r>
        <w:rPr>
          <w:rFonts w:ascii="Yu Gothic" w:hAnsi="Yu Gothic" w:eastAsia="Yu Gothic"/>
          <w:b w:val="0"/>
          <w:i w:val="0"/>
          <w:color w:val="1A1A1A"/>
          <w:sz w:val="17"/>
        </w:rPr>
        <w:t>賃金は、基本給及び諸手当（通勤手当・役職手当・資格手当・時間外手当等）をもって構成する。手当の種類・支給要件は【　　　　　　　　　　】に定める。</w:t>
      </w:r>
    </w:p>
    <w:p>
      <w:pPr>
        <w:spacing w:before="200" w:after="80"/>
        <w:pBdr>
          <w:top w:val="double" w:sz="8" w:space="1" w:color="1B3A5C"/>
        </w:pBdr>
        <w:jc w:val="left"/>
      </w:pPr>
      <w:r>
        <w:rPr>
          <w:rFonts w:ascii="Yu Gothic" w:hAnsi="Yu Gothic" w:eastAsia="Yu Gothic"/>
          <w:b/>
          <w:i w:val="0"/>
          <w:color w:val="1B3A5C"/>
          <w:sz w:val="24"/>
          <w:spacing w:val="24"/>
        </w:rPr>
        <w:t>第3章　賃金の決定</w:t>
      </w:r>
    </w:p>
    <w:p>
      <w:pPr>
        <w:spacing w:before="60" w:after="40"/>
        <w:pBdr>
          <w:top w:val="double" w:sz="8" w:space="1" w:color="1B3A5C"/>
        </w:pBdr>
      </w:pPr>
      <w:r>
        <w:rPr>
          <w:rFonts w:ascii="Yu Gothic" w:hAnsi="Yu Gothic" w:eastAsia="Yu Gothic"/>
          <w:b/>
          <w:i w:val="0"/>
          <w:color w:val="1B3A5C"/>
          <w:sz w:val="22"/>
        </w:rPr>
        <w:t>第4条（賃金の決定）</w:t>
      </w:r>
    </w:p>
    <w:p>
      <w:pPr>
        <w:spacing w:before="0" w:after="60" w:line="248" w:lineRule="exact"/>
      </w:pPr>
      <w:r>
        <w:rPr>
          <w:rFonts w:ascii="Yu Gothic" w:hAnsi="Yu Gothic" w:eastAsia="Yu Gothic"/>
          <w:b w:val="0"/>
          <w:i w:val="0"/>
          <w:color w:val="1A1A1A"/>
          <w:sz w:val="17"/>
        </w:rPr>
        <w:t>基本給は、労働者の職務内容、技能、経験、勤務成績等を考慮して各人ごとに決定する（労働基準法第89条第2号）。</w:t>
      </w:r>
    </w:p>
    <w:p>
      <w:pPr>
        <w:spacing w:before="200" w:after="80"/>
        <w:pBdr>
          <w:top w:val="double" w:sz="8" w:space="1" w:color="1B3A5C"/>
        </w:pBdr>
        <w:jc w:val="left"/>
      </w:pPr>
      <w:r>
        <w:rPr>
          <w:rFonts w:ascii="Yu Gothic" w:hAnsi="Yu Gothic" w:eastAsia="Yu Gothic"/>
          <w:b/>
          <w:i w:val="0"/>
          <w:color w:val="1B3A5C"/>
          <w:sz w:val="24"/>
          <w:spacing w:val="24"/>
        </w:rPr>
        <w:t>第4章　賃金の計算</w:t>
      </w:r>
    </w:p>
    <w:p>
      <w:pPr>
        <w:spacing w:before="60" w:after="40"/>
        <w:pBdr>
          <w:top w:val="double" w:sz="8" w:space="1" w:color="1B3A5C"/>
        </w:pBdr>
      </w:pPr>
      <w:r>
        <w:rPr>
          <w:rFonts w:ascii="Yu Gothic" w:hAnsi="Yu Gothic" w:eastAsia="Yu Gothic"/>
          <w:b/>
          <w:i w:val="0"/>
          <w:color w:val="1B3A5C"/>
          <w:sz w:val="22"/>
        </w:rPr>
        <w:t>第5条（欠勤等の扱い）</w:t>
      </w:r>
    </w:p>
    <w:p>
      <w:pPr>
        <w:spacing w:before="0" w:after="60" w:line="248" w:lineRule="exact"/>
      </w:pPr>
      <w:r>
        <w:rPr>
          <w:rFonts w:ascii="Yu Gothic" w:hAnsi="Yu Gothic" w:eastAsia="Yu Gothic"/>
          <w:b w:val="0"/>
          <w:i w:val="0"/>
          <w:color w:val="1A1A1A"/>
          <w:sz w:val="17"/>
        </w:rPr>
        <w:t>欠勤、遅刻、早退その他労働しなかった時間に対しては、その時間に相当する賃金を支給しない（ノーワーク・ノーペイの原則）。</w:t>
      </w:r>
    </w:p>
    <w:p>
      <w:pPr>
        <w:spacing w:before="60" w:after="40"/>
        <w:pBdr>
          <w:top w:val="double" w:sz="8" w:space="1" w:color="1B3A5C"/>
        </w:pBdr>
      </w:pPr>
      <w:r>
        <w:rPr>
          <w:rFonts w:ascii="Yu Gothic" w:hAnsi="Yu Gothic" w:eastAsia="Yu Gothic"/>
          <w:b/>
          <w:i w:val="0"/>
          <w:color w:val="1B3A5C"/>
          <w:sz w:val="22"/>
        </w:rPr>
        <w:t>第6条（割増賃金）</w:t>
      </w:r>
    </w:p>
    <w:p>
      <w:pPr>
        <w:spacing w:before="0" w:after="60" w:line="248" w:lineRule="exact"/>
      </w:pPr>
      <w:r>
        <w:rPr>
          <w:rFonts w:ascii="Yu Gothic" w:hAnsi="Yu Gothic" w:eastAsia="Yu Gothic"/>
          <w:b w:val="0"/>
          <w:i w:val="0"/>
          <w:color w:val="1A1A1A"/>
          <w:sz w:val="17"/>
        </w:rPr>
        <w:t>1. 時間外労働、休日労働又は深夜労働（午後10時から午前5時まで）をさせた場合は、労働基準法第37条及び同条の割増賃金に係る率の最低限度を定める政令に基づき、次の割増率以上で計算した割増賃金を支給する。</w:t>
      </w:r>
    </w:p>
    <w:tbl>
      <w:tblPr>
        <w:tblW w:type="dxa" w:w="9808"/>
        <w:tblInd w:w="113" w:type="dxa"/>
        <w:tblBorders>
          <w:top w:val="nil"/>
          <w:left w:val="nil"/>
          <w:bottom w:val="nil"/>
          <w:right w:val="nil"/>
          <w:insideH w:val="nil"/>
          <w:insideV w:val="nil"/>
        </w:tblBorders>
        <w:tblLayout w:type="fixed"/>
      </w:tblPr>
      <w:tblGrid>
        <w:gridCol w:w="3969"/>
        <w:gridCol w:w="1701"/>
        <w:gridCol w:w="4139"/>
      </w:tblGrid>
      <w:tr>
        <w:trPr>
          <w:cantSplit/>
          <w:trHeight w:val="425" w:hRule="atLeast"/>
        </w:trPr>
        <w:tc>
          <w:tcPr>
            <w:tcW w:type="dxa" w:w="3969"/>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区分</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割増率</w:t>
            </w:r>
          </w:p>
        </w:tc>
        <w:tc>
          <w:tcPr>
            <w:tcW w:type="dxa" w:w="4139"/>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根拠</w:t>
            </w:r>
          </w:p>
        </w:tc>
      </w:tr>
      <w:tr>
        <w:trPr>
          <w:cantSplit/>
          <w:trHeight w:val="482"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時間外労働（1か月60時間以下の部分）</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25%以上</w:t>
            </w:r>
          </w:p>
        </w:tc>
        <w:tc>
          <w:tcPr>
            <w:tcW w:type="dxa" w:w="4139"/>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労基法37条1項・同条の割増賃金率の最低限度を定める政令</w:t>
            </w:r>
          </w:p>
        </w:tc>
      </w:tr>
      <w:tr>
        <w:trPr>
          <w:cantSplit/>
          <w:trHeight w:val="482"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時間外労働（1か月60時間を超える部分）</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50%以上</w:t>
            </w:r>
          </w:p>
        </w:tc>
        <w:tc>
          <w:tcPr>
            <w:tcW w:type="dxa" w:w="4139"/>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労基法37条1項ただし書き</w:t>
            </w:r>
          </w:p>
        </w:tc>
      </w:tr>
      <w:tr>
        <w:trPr>
          <w:cantSplit/>
          <w:trHeight w:val="482"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休日労働（法定休日）</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35%以上</w:t>
            </w:r>
          </w:p>
        </w:tc>
        <w:tc>
          <w:tcPr>
            <w:tcW w:type="dxa" w:w="4139"/>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労基法37条1項・同政令</w:t>
            </w:r>
          </w:p>
        </w:tc>
      </w:tr>
      <w:tr>
        <w:trPr>
          <w:cantSplit/>
          <w:trHeight w:val="482" w:hRule="atLeast"/>
        </w:trPr>
        <w:tc>
          <w:tcPr>
            <w:tcW w:type="dxa" w:w="3969"/>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深夜労働（午後10時〜午前5時）</w:t>
            </w: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25%以上</w:t>
            </w:r>
          </w:p>
        </w:tc>
        <w:tc>
          <w:tcPr>
            <w:tcW w:type="dxa" w:w="4139"/>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労基法37条5項</w:t>
            </w:r>
          </w:p>
        </w:tc>
      </w:tr>
    </w:tbl>
    <w:p>
      <w:pPr>
        <w:spacing w:before="0" w:after="0" w:line="113" w:lineRule="exact"/>
      </w:pPr>
    </w:p>
    <w:p>
      <w:pPr>
        <w:spacing w:before="0" w:after="60" w:line="248" w:lineRule="exact"/>
      </w:pPr>
      <w:r>
        <w:rPr>
          <w:rFonts w:ascii="Yu Gothic" w:hAnsi="Yu Gothic" w:eastAsia="Yu Gothic"/>
          <w:b w:val="0"/>
          <w:i w:val="0"/>
          <w:color w:val="1A1A1A"/>
          <w:sz w:val="17"/>
        </w:rPr>
        <w:t>2. 家族手当、通勤手当その他厚生労働省令で定める賃金は、割増賃金の基礎となる賃金に算入しない（労働基準法第37条第6項）。</w:t>
      </w:r>
    </w:p>
    <w:p>
      <w:pPr>
        <w:spacing w:before="200" w:after="80"/>
        <w:pBdr>
          <w:top w:val="double" w:sz="8" w:space="1" w:color="1B3A5C"/>
        </w:pBdr>
        <w:jc w:val="left"/>
      </w:pPr>
      <w:r>
        <w:rPr>
          <w:rFonts w:ascii="Yu Gothic" w:hAnsi="Yu Gothic" w:eastAsia="Yu Gothic"/>
          <w:b/>
          <w:i w:val="0"/>
          <w:color w:val="1B3A5C"/>
          <w:sz w:val="24"/>
          <w:spacing w:val="24"/>
        </w:rPr>
        <w:t>第5章　賃金の締切り及び支払</w:t>
      </w:r>
    </w:p>
    <w:p>
      <w:pPr>
        <w:spacing w:before="60" w:after="40"/>
        <w:pBdr>
          <w:top w:val="double" w:sz="8" w:space="1" w:color="1B3A5C"/>
        </w:pBdr>
      </w:pPr>
      <w:r>
        <w:rPr>
          <w:rFonts w:ascii="Yu Gothic" w:hAnsi="Yu Gothic" w:eastAsia="Yu Gothic"/>
          <w:b/>
          <w:i w:val="0"/>
          <w:color w:val="1B3A5C"/>
          <w:sz w:val="22"/>
        </w:rPr>
        <w:t>第7条（賃金の支払）</w:t>
      </w:r>
    </w:p>
    <w:p>
      <w:pPr>
        <w:spacing w:before="0" w:after="60" w:line="248" w:lineRule="exact"/>
      </w:pPr>
      <w:r>
        <w:rPr>
          <w:rFonts w:ascii="Yu Gothic" w:hAnsi="Yu Gothic" w:eastAsia="Yu Gothic"/>
          <w:b w:val="0"/>
          <w:i w:val="0"/>
          <w:color w:val="1A1A1A"/>
          <w:sz w:val="17"/>
        </w:rPr>
        <w:t>賃金は、通貨で、直接労働者に、その全額を支払う。ただし、労働者の同意を得た場合は、本人が指定する銀行口座等へ振り込むことにより支払うことができる（労働基準法第24条第1項）。</w:t>
      </w:r>
    </w:p>
    <w:p>
      <w:pPr>
        <w:spacing w:before="60" w:after="40"/>
        <w:pBdr>
          <w:top w:val="double" w:sz="8" w:space="1" w:color="1B3A5C"/>
        </w:pBdr>
      </w:pPr>
      <w:r>
        <w:rPr>
          <w:rFonts w:ascii="Yu Gothic" w:hAnsi="Yu Gothic" w:eastAsia="Yu Gothic"/>
          <w:b/>
          <w:i w:val="0"/>
          <w:color w:val="1B3A5C"/>
          <w:sz w:val="22"/>
        </w:rPr>
        <w:t>第8条（賃金の締切日及び支払日）</w:t>
      </w:r>
    </w:p>
    <w:p>
      <w:pPr>
        <w:spacing w:before="0" w:after="60" w:line="248" w:lineRule="exact"/>
      </w:pPr>
      <w:r>
        <w:rPr>
          <w:rFonts w:ascii="Yu Gothic" w:hAnsi="Yu Gothic" w:eastAsia="Yu Gothic"/>
          <w:b w:val="0"/>
          <w:i w:val="0"/>
          <w:color w:val="1A1A1A"/>
          <w:sz w:val="17"/>
        </w:rPr>
        <w:t>賃金は、毎月【　　】日をもって締め切り、翌月【　　】日（支払日が休日にあたるときはその前日）に支払う（労働基準法第24条第2項）。</w:t>
      </w:r>
    </w:p>
    <w:p>
      <w:pPr>
        <w:spacing w:before="200" w:after="80"/>
        <w:pBdr>
          <w:top w:val="double" w:sz="8" w:space="1" w:color="1B3A5C"/>
        </w:pBdr>
        <w:jc w:val="left"/>
      </w:pPr>
      <w:r>
        <w:rPr>
          <w:rFonts w:ascii="Yu Gothic" w:hAnsi="Yu Gothic" w:eastAsia="Yu Gothic"/>
          <w:b/>
          <w:i w:val="0"/>
          <w:color w:val="1B3A5C"/>
          <w:sz w:val="24"/>
          <w:spacing w:val="24"/>
        </w:rPr>
        <w:t>第6章　昇給</w:t>
      </w:r>
    </w:p>
    <w:p>
      <w:pPr>
        <w:spacing w:before="60" w:after="40"/>
        <w:pBdr>
          <w:top w:val="double" w:sz="8" w:space="1" w:color="1B3A5C"/>
        </w:pBdr>
      </w:pPr>
      <w:r>
        <w:rPr>
          <w:rFonts w:ascii="Yu Gothic" w:hAnsi="Yu Gothic" w:eastAsia="Yu Gothic"/>
          <w:b/>
          <w:i w:val="0"/>
          <w:color w:val="1B3A5C"/>
          <w:sz w:val="22"/>
        </w:rPr>
        <w:t>第9条（昇給）</w:t>
      </w:r>
    </w:p>
    <w:p>
      <w:pPr>
        <w:spacing w:before="0" w:after="60" w:line="248" w:lineRule="exact"/>
      </w:pPr>
      <w:r>
        <w:rPr>
          <w:rFonts w:ascii="Yu Gothic" w:hAnsi="Yu Gothic" w:eastAsia="Yu Gothic"/>
          <w:b w:val="0"/>
          <w:i w:val="0"/>
          <w:color w:val="1A1A1A"/>
          <w:sz w:val="17"/>
        </w:rPr>
        <w:t>昇給は、原則として年1回、会社の業績及び労働者の勤務成績等を考慮して行う（労働基準法第89条第2号）。ただし、会社の業績等により昇給を行わないことがある。</w:t>
      </w:r>
    </w:p>
    <w:p>
      <w:pPr>
        <w:spacing w:before="200" w:after="80"/>
        <w:pBdr>
          <w:top w:val="double" w:sz="8" w:space="1" w:color="1B3A5C"/>
        </w:pBdr>
        <w:jc w:val="left"/>
      </w:pPr>
      <w:r>
        <w:rPr>
          <w:rFonts w:ascii="Yu Gothic" w:hAnsi="Yu Gothic" w:eastAsia="Yu Gothic"/>
          <w:b/>
          <w:i w:val="0"/>
          <w:color w:val="1B3A5C"/>
          <w:sz w:val="24"/>
          <w:spacing w:val="24"/>
        </w:rPr>
        <w:t>第7章　臨時の賃金等（定めをする場合）</w:t>
      </w:r>
    </w:p>
    <w:p>
      <w:pPr>
        <w:spacing w:before="60" w:after="40"/>
        <w:pBdr>
          <w:top w:val="double" w:sz="8" w:space="1" w:color="1B3A5C"/>
        </w:pBdr>
      </w:pPr>
      <w:r>
        <w:rPr>
          <w:rFonts w:ascii="Yu Gothic" w:hAnsi="Yu Gothic" w:eastAsia="Yu Gothic"/>
          <w:b/>
          <w:i w:val="0"/>
          <w:color w:val="1B3A5C"/>
          <w:sz w:val="22"/>
        </w:rPr>
        <w:t>第10条（賞与）</w:t>
      </w:r>
    </w:p>
    <w:p>
      <w:pPr>
        <w:spacing w:before="0" w:after="60" w:line="248" w:lineRule="exact"/>
      </w:pPr>
      <w:r>
        <w:rPr>
          <w:rFonts w:ascii="Yu Gothic" w:hAnsi="Yu Gothic" w:eastAsia="Yu Gothic"/>
          <w:b w:val="0"/>
          <w:i w:val="0"/>
          <w:color w:val="1A1A1A"/>
          <w:sz w:val="17"/>
        </w:rPr>
        <w:t>会社は、賞与を支給する場合においては、次のとおりとする（労働基準法第89条第4号）。</w:t>
      </w:r>
    </w:p>
    <w:p>
      <w:pPr>
        <w:spacing w:before="0" w:after="60" w:line="248" w:lineRule="exact"/>
      </w:pPr>
      <w:r>
        <w:rPr>
          <w:rFonts w:ascii="Yu Gothic" w:hAnsi="Yu Gothic" w:eastAsia="Yu Gothic"/>
          <w:b w:val="0"/>
          <w:i w:val="0"/>
          <w:color w:val="1A1A1A"/>
          <w:sz w:val="17"/>
        </w:rPr>
        <w:t>① 支給対象者：【　　　　　　　　　　　　　】</w:t>
      </w:r>
    </w:p>
    <w:p>
      <w:pPr>
        <w:spacing w:before="0" w:after="60" w:line="248" w:lineRule="exact"/>
      </w:pPr>
      <w:r>
        <w:rPr>
          <w:rFonts w:ascii="Yu Gothic" w:hAnsi="Yu Gothic" w:eastAsia="Yu Gothic"/>
          <w:b w:val="0"/>
          <w:i w:val="0"/>
          <w:color w:val="1A1A1A"/>
          <w:sz w:val="17"/>
        </w:rPr>
        <w:t>② 支給時期：【　　】月・【　　】月（年【　　】回）</w:t>
      </w:r>
    </w:p>
    <w:p>
      <w:pPr>
        <w:spacing w:before="0" w:after="60" w:line="248" w:lineRule="exact"/>
      </w:pPr>
      <w:r>
        <w:rPr>
          <w:rFonts w:ascii="Yu Gothic" w:hAnsi="Yu Gothic" w:eastAsia="Yu Gothic"/>
          <w:b w:val="0"/>
          <w:i w:val="0"/>
          <w:color w:val="1A1A1A"/>
          <w:sz w:val="17"/>
        </w:rPr>
        <w:t>③ 支給額：会社の業績及び労働者の勤務成績等を考慮してその都度決定する</w:t>
      </w:r>
    </w:p>
    <w:p>
      <w:pPr>
        <w:spacing w:before="200" w:after="80"/>
        <w:pBdr>
          <w:top w:val="double" w:sz="8" w:space="1" w:color="1B3A5C"/>
        </w:pBdr>
        <w:jc w:val="left"/>
      </w:pPr>
      <w:r>
        <w:rPr>
          <w:rFonts w:ascii="Yu Gothic" w:hAnsi="Yu Gothic" w:eastAsia="Yu Gothic"/>
          <w:b/>
          <w:i w:val="0"/>
          <w:color w:val="1B3A5C"/>
          <w:sz w:val="24"/>
          <w:spacing w:val="24"/>
        </w:rPr>
        <w:t>第8章　退職手当（定めをする場合）</w:t>
      </w:r>
    </w:p>
    <w:p>
      <w:pPr>
        <w:spacing w:before="60" w:after="40"/>
        <w:pBdr>
          <w:top w:val="double" w:sz="8" w:space="1" w:color="1B3A5C"/>
        </w:pBdr>
      </w:pPr>
      <w:r>
        <w:rPr>
          <w:rFonts w:ascii="Yu Gothic" w:hAnsi="Yu Gothic" w:eastAsia="Yu Gothic"/>
          <w:b/>
          <w:i w:val="0"/>
          <w:color w:val="1B3A5C"/>
          <w:sz w:val="22"/>
        </w:rPr>
        <w:t>第11条（退職手当）</w:t>
      </w:r>
    </w:p>
    <w:p>
      <w:pPr>
        <w:spacing w:before="0" w:after="60" w:line="248" w:lineRule="exact"/>
      </w:pPr>
      <w:r>
        <w:rPr>
          <w:rFonts w:ascii="Yu Gothic" w:hAnsi="Yu Gothic" w:eastAsia="Yu Gothic"/>
          <w:b w:val="0"/>
          <w:i w:val="0"/>
          <w:color w:val="1A1A1A"/>
          <w:sz w:val="17"/>
        </w:rPr>
        <w:t>会社は、退職手当を支給する場合においては、次のとおりとする（労働基準法第89条第3号の2）。</w:t>
      </w:r>
    </w:p>
    <w:p>
      <w:pPr>
        <w:spacing w:before="0" w:after="60" w:line="248" w:lineRule="exact"/>
      </w:pPr>
      <w:r>
        <w:rPr>
          <w:rFonts w:ascii="Yu Gothic" w:hAnsi="Yu Gothic" w:eastAsia="Yu Gothic"/>
          <w:b w:val="0"/>
          <w:i w:val="0"/>
          <w:color w:val="1A1A1A"/>
          <w:sz w:val="17"/>
        </w:rPr>
        <w:t>① 適用される労働者の範囲：【　　　　　　　　　　　　　】</w:t>
      </w:r>
    </w:p>
    <w:p>
      <w:pPr>
        <w:spacing w:before="0" w:after="60" w:line="248" w:lineRule="exact"/>
      </w:pPr>
      <w:r>
        <w:rPr>
          <w:rFonts w:ascii="Yu Gothic" w:hAnsi="Yu Gothic" w:eastAsia="Yu Gothic"/>
          <w:b w:val="0"/>
          <w:i w:val="0"/>
          <w:color w:val="1A1A1A"/>
          <w:sz w:val="17"/>
        </w:rPr>
        <w:t>② 決定、計算及び支払の方法：別に定める退職金規程による</w:t>
      </w:r>
    </w:p>
    <w:p>
      <w:pPr>
        <w:spacing w:before="0" w:after="60" w:line="248" w:lineRule="exact"/>
      </w:pPr>
      <w:r>
        <w:rPr>
          <w:rFonts w:ascii="Yu Gothic" w:hAnsi="Yu Gothic" w:eastAsia="Yu Gothic"/>
          <w:b w:val="0"/>
          <w:i w:val="0"/>
          <w:color w:val="1A1A1A"/>
          <w:sz w:val="17"/>
        </w:rPr>
        <w:t>③ 支払の時期：退職の日から【　　】か月以内</w:t>
      </w:r>
    </w:p>
    <w:p>
      <w:pPr>
        <w:spacing w:before="200" w:after="60"/>
        <w:pBdr>
          <w:top w:val="double" w:sz="8" w:space="1" w:color="1B3A5C"/>
        </w:pBdr>
      </w:pPr>
      <w:r>
        <w:rPr>
          <w:rFonts w:ascii="Yu Gothic" w:hAnsi="Yu Gothic" w:eastAsia="Yu Gothic"/>
          <w:b/>
          <w:i w:val="0"/>
          <w:color w:val="1B3A5C"/>
          <w:sz w:val="22"/>
          <w:spacing w:val="24"/>
        </w:rPr>
        <w:t>附則</w:t>
      </w:r>
    </w:p>
    <w:p>
      <w:pPr>
        <w:spacing w:before="0" w:after="60" w:line="248" w:lineRule="exact"/>
      </w:pPr>
      <w:r>
        <w:rPr>
          <w:rFonts w:ascii="Yu Gothic" w:hAnsi="Yu Gothic" w:eastAsia="Yu Gothic"/>
          <w:b w:val="0"/>
          <w:i w:val="0"/>
          <w:color w:val="1A1A1A"/>
          <w:sz w:val="17"/>
        </w:rPr>
        <w:t>本規程は、　　　年　　月　　日から施行する。</w:t>
      </w:r>
    </w:p>
    <w:p>
      <w:pPr>
        <w:spacing w:before="0" w:after="20" w:line="210" w:lineRule="exact"/>
      </w:pPr>
      <w:r>
        <w:rPr>
          <w:rFonts w:ascii="Yu Gothic" w:hAnsi="Yu Gothic" w:eastAsia="Yu Gothic"/>
          <w:b w:val="0"/>
          <w:i w:val="0"/>
          <w:color w:val="66707A"/>
          <w:sz w:val="15"/>
        </w:rPr>
        <w:t>※ 参照法令: 労働基準法第24条・第37条・第89条第2号・第3号の2・第4号（e-Gov法令API 322AC0000000049 で実取得・2026-09-22確認）。割増賃金率は「労働基準法第三十七条第一項の時間外及び休日の割増賃金に係る率の最低限度を定める政令」（平成6年政令第5号）に基づく。</w:t>
      </w:r>
    </w:p>
    <w:p>
      <w:pPr>
        <w:spacing w:before="0" w:after="20" w:line="210" w:lineRule="exact"/>
      </w:pPr>
      <w:r>
        <w:rPr>
          <w:rFonts w:ascii="Yu Gothic" w:hAnsi="Yu Gothic" w:eastAsia="Yu Gothic"/>
          <w:b w:val="0"/>
          <w:i w:val="0"/>
          <w:color w:val="66707A"/>
          <w:sz w:val="15"/>
        </w:rPr>
        <w:t>※ 本テンプレートは一般的な情報提供を目的としており、法的アドバイスを構成するものではありません。実際の運用は社会保険労務士・弁護士にご確認ください。</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