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Style w:val="Heading1"/>
        <w:pBdr>
          <w:bottom w:val="double" w:sz="10" w:space="1" w:color="1B3A5C"/>
        </w:pBdr>
      </w:pPr>
      <w:r>
        <w:rPr>
          <w:rFonts w:ascii="Yu Mincho" w:hAnsi="Yu Mincho" w:eastAsia="Yu Mincho"/>
          <w:b/>
          <w:i w:val="0"/>
          <w:color w:val="1B3A5C"/>
          <w:sz w:val="36"/>
          <w:spacing w:val="36"/>
        </w:rPr>
        <w:t>借用書（記入例）</w:t>
      </w:r>
    </w:p>
    <w:p>
      <w:pPr>
        <w:tabs>
          <w:tab w:pos="9865" w:val="right"/>
        </w:tabs>
        <w:spacing w:before="40" w:after="60"/>
      </w:pPr>
      <w:r>
        <w:tab/>
      </w:r>
      <w:r>
        <w:rPr>
          <w:rFonts w:ascii="Yu Gothic" w:hAnsi="Yu Gothic" w:eastAsia="Yu Gothic"/>
          <w:b w:val="0"/>
          <w:i w:val="0"/>
          <w:color w:val="1A1A1A"/>
          <w:sz w:val="21"/>
        </w:rPr>
        <w:t>令和7年5月12日</w:t>
      </w:r>
    </w:p>
    <w:p>
      <w:pPr>
        <w:spacing w:before="20" w:after="60"/>
      </w:pPr>
      <w:r>
        <w:rPr>
          <w:rFonts w:ascii="Yu Gothic" w:hAnsi="Yu Gothic" w:eastAsia="Yu Gothic"/>
          <w:b w:val="0"/>
          <w:i w:val="0"/>
          <w:color w:val="B3261E"/>
          <w:sz w:val="19"/>
        </w:rPr>
        <w:t>貸主：田中　太郎　殿（以下「甲」という）</w:t>
      </w:r>
    </w:p>
    <w:p>
      <w:pPr>
        <w:spacing w:before="0" w:after="120" w:line="270" w:lineRule="exact"/>
      </w:pPr>
      <w:r>
        <w:rPr>
          <w:rFonts w:ascii="Yu Gothic" w:hAnsi="Yu Gothic" w:eastAsia="Yu Gothic"/>
          <w:b w:val="0"/>
          <w:i w:val="0"/>
          <w:color w:val="1A1A1A"/>
          <w:sz w:val="19"/>
        </w:rPr>
        <w:t>私（以下「乙」という）は、本日、甲より下記金員を借り受けたことを確認のうえ、下記条項を遵守することを約束いたします。</w:t>
      </w:r>
    </w:p>
    <w:p>
      <w:pPr>
        <w:spacing w:before="60" w:after="40"/>
        <w:pStyle w:val="Heading2"/>
        <w:pBdr>
          <w:top w:val="double" w:sz="8" w:space="1" w:color="1B3A5C"/>
        </w:pBdr>
      </w:pPr>
      <w:r>
        <w:rPr>
          <w:rFonts w:ascii="Yu Gothic" w:hAnsi="Yu Gothic" w:eastAsia="Yu Gothic"/>
          <w:b/>
          <w:i w:val="0"/>
          <w:color w:val="1B3A5C"/>
          <w:sz w:val="22"/>
        </w:rPr>
        <w:t>第1条（金銭の借用）</w:t>
      </w:r>
    </w:p>
    <w:p>
      <w:pPr>
        <w:spacing w:before="0" w:after="100" w:line="260" w:lineRule="exact"/>
      </w:pPr>
      <w:r>
        <w:rPr>
          <w:rFonts w:ascii="Yu Gothic" w:hAnsi="Yu Gothic" w:eastAsia="Yu Gothic"/>
          <w:b w:val="0"/>
          <w:i w:val="0"/>
          <w:color w:val="1A1A1A"/>
          <w:sz w:val="18"/>
        </w:rPr>
        <w:t>1. 乙は、本日、甲より下記金員を確かに借り受けた。</w:t>
        <w:br/>
        <w:t xml:space="preserve">  借用金額：金1,000,000円也</w:t>
        <w:br/>
        <w:t xml:space="preserve">  借用日：令和7年5月12日</w:t>
        <w:br/>
        <w:t>2. 借用金の授受：□ 現金で交付　☑ 銀行口座への振込</w:t>
      </w:r>
    </w:p>
    <w:p>
      <w:pPr>
        <w:spacing w:before="60" w:after="40"/>
        <w:pStyle w:val="Heading2"/>
        <w:pBdr>
          <w:top w:val="double" w:sz="8" w:space="1" w:color="1B3A5C"/>
        </w:pBdr>
      </w:pPr>
      <w:r>
        <w:rPr>
          <w:rFonts w:ascii="Yu Gothic" w:hAnsi="Yu Gothic" w:eastAsia="Yu Gothic"/>
          <w:b/>
          <w:i w:val="0"/>
          <w:color w:val="1B3A5C"/>
          <w:sz w:val="22"/>
        </w:rPr>
        <w:t>第2条（返済期日・方法）</w:t>
      </w:r>
    </w:p>
    <w:p>
      <w:pPr>
        <w:spacing w:before="0" w:after="100" w:line="260" w:lineRule="exact"/>
      </w:pPr>
      <w:r>
        <w:rPr>
          <w:rFonts w:ascii="Yu Gothic" w:hAnsi="Yu Gothic" w:eastAsia="Yu Gothic"/>
          <w:b w:val="0"/>
          <w:i w:val="0"/>
          <w:color w:val="1A1A1A"/>
          <w:sz w:val="18"/>
        </w:rPr>
        <w:t>1. 返済期日：令和8年5月10日</w:t>
        <w:br/>
        <w:t>2. 返済方法：</w:t>
        <w:br/>
        <w:t xml:space="preserve">  □ 一括返済：上記期日に元金および利息全額を一括して返済</w:t>
        <w:br/>
        <w:t xml:space="preserve">  ☑ 分割返済：毎月10日限り87,916円ずつ12回払い（最終回は87,913円）</w:t>
        <w:br/>
        <w:t xml:space="preserve">    初回：令和7年6月10日／最終回：令和8年5月10日</w:t>
        <w:br/>
        <w:t>3. 返済方法：甲指定の銀行口座への振込（振込手数料は乙負担）</w:t>
      </w:r>
    </w:p>
    <w:p>
      <w:pPr>
        <w:spacing w:before="60" w:after="40"/>
        <w:pStyle w:val="Heading2"/>
        <w:pBdr>
          <w:top w:val="double" w:sz="8" w:space="1" w:color="1B3A5C"/>
        </w:pBdr>
      </w:pPr>
      <w:r>
        <w:rPr>
          <w:rFonts w:ascii="Yu Gothic" w:hAnsi="Yu Gothic" w:eastAsia="Yu Gothic"/>
          <w:b/>
          <w:i w:val="0"/>
          <w:color w:val="1B3A5C"/>
          <w:sz w:val="22"/>
        </w:rPr>
        <w:t>第3条（利息）</w:t>
      </w:r>
    </w:p>
    <w:p>
      <w:pPr>
        <w:spacing w:before="0" w:after="100" w:line="260" w:lineRule="exact"/>
      </w:pPr>
      <w:r>
        <w:rPr>
          <w:rFonts w:ascii="Yu Gothic" w:hAnsi="Yu Gothic" w:eastAsia="Yu Gothic"/>
          <w:b w:val="0"/>
          <w:i w:val="0"/>
          <w:color w:val="1A1A1A"/>
          <w:sz w:val="18"/>
        </w:rPr>
        <w:t>1. 利息は年10%とする。</w:t>
        <w:br/>
        <w:t>2. 利息制限法を遵守する。</w:t>
        <w:br/>
        <w:t xml:space="preserve">  ・元本10万円未満：年20%以内</w:t>
        <w:br/>
        <w:t xml:space="preserve">  ・元本10万円以上100万円未満：年18%以内</w:t>
        <w:br/>
        <w:t xml:space="preserve">  ・元本100万円以上：年15%以内</w:t>
        <w:br/>
        <w:t>3. 利息は元金返済時に併せて支払う。</w:t>
        <w:br/>
        <w:t>4. 無利息とする場合は本条全文を「本貸借は無利息とする。」に置き換える。</w:t>
      </w:r>
    </w:p>
    <w:p>
      <w:pPr>
        <w:spacing w:before="60" w:after="40"/>
        <w:pStyle w:val="Heading2"/>
        <w:pBdr>
          <w:top w:val="double" w:sz="8" w:space="1" w:color="1B3A5C"/>
        </w:pBdr>
      </w:pPr>
      <w:r>
        <w:rPr>
          <w:rFonts w:ascii="Yu Gothic" w:hAnsi="Yu Gothic" w:eastAsia="Yu Gothic"/>
          <w:b/>
          <w:i w:val="0"/>
          <w:color w:val="1B3A5C"/>
          <w:sz w:val="22"/>
        </w:rPr>
        <w:t>第4条（遅延損害金）</w:t>
      </w:r>
    </w:p>
    <w:p>
      <w:pPr>
        <w:spacing w:before="0" w:after="100" w:line="260" w:lineRule="exact"/>
      </w:pPr>
      <w:r>
        <w:rPr>
          <w:rFonts w:ascii="Yu Gothic" w:hAnsi="Yu Gothic" w:eastAsia="Yu Gothic"/>
          <w:b w:val="0"/>
          <w:i w:val="0"/>
          <w:color w:val="1A1A1A"/>
          <w:sz w:val="18"/>
        </w:rPr>
        <w:t>1. 乙が返済を遅滞した場合、年14.6％の遅延損害金を甲に支払う。</w:t>
        <w:br/>
        <w:t>2. 利息制限法第4条第1項により、遅延損害金（賠償額の予定）の上限は同法第1条の制限利率の1.46倍である（元本10万円未満は年29.2%、10万円以上100万円未満は年26.28%、100万円以上は年21.9%）。</w:t>
      </w:r>
    </w:p>
    <w:p>
      <w:pPr>
        <w:spacing w:before="60" w:after="40"/>
        <w:pStyle w:val="Heading2"/>
        <w:pBdr>
          <w:top w:val="double" w:sz="8" w:space="1" w:color="1B3A5C"/>
        </w:pBdr>
      </w:pPr>
      <w:r>
        <w:rPr>
          <w:rFonts w:ascii="Yu Gothic" w:hAnsi="Yu Gothic" w:eastAsia="Yu Gothic"/>
          <w:b/>
          <w:i w:val="0"/>
          <w:color w:val="1B3A5C"/>
          <w:sz w:val="22"/>
        </w:rPr>
        <w:t>第5条（期限の利益喪失）</w:t>
      </w:r>
    </w:p>
    <w:p>
      <w:pPr>
        <w:spacing w:before="0" w:after="100" w:line="260" w:lineRule="exact"/>
      </w:pPr>
      <w:r>
        <w:rPr>
          <w:rFonts w:ascii="Yu Gothic" w:hAnsi="Yu Gothic" w:eastAsia="Yu Gothic"/>
          <w:b w:val="0"/>
          <w:i w:val="0"/>
          <w:color w:val="1A1A1A"/>
          <w:sz w:val="18"/>
        </w:rPr>
        <w:t>次の各号に該当した場合、乙は何らの催告を要せず期限の利益を失い、残債務全額を直ちに一括して支払う。</w:t>
        <w:br/>
        <w:t>（1）支払いを1回でも怠ったとき</w:t>
        <w:br/>
        <w:t>（2）他の債務について差押え、仮差押え、仮処分、強制執行、競売を受けたとき</w:t>
        <w:br/>
        <w:t>（3）破産手続開始・再生手続開始の申立てがあったとき、または弁護士等から債務整理の通知があったとき</w:t>
        <w:br/>
        <w:t>（4）支払停止、支払不能、手形・小切手の不渡りがあったとき</w:t>
        <w:br/>
        <w:t>（5）住所変更を通知せず連絡が取れなくなったとき</w:t>
        <w:br/>
        <w:t>（6）その他本契約に定める義務に違反したとき</w:t>
      </w:r>
    </w:p>
    <w:p>
      <w:pPr>
        <w:spacing w:before="60" w:after="40"/>
        <w:pStyle w:val="Heading2"/>
        <w:pBdr>
          <w:top w:val="double" w:sz="8" w:space="1" w:color="1B3A5C"/>
        </w:pBdr>
      </w:pPr>
      <w:r>
        <w:rPr>
          <w:rFonts w:ascii="Yu Gothic" w:hAnsi="Yu Gothic" w:eastAsia="Yu Gothic"/>
          <w:b/>
          <w:i w:val="0"/>
          <w:color w:val="1B3A5C"/>
          <w:sz w:val="22"/>
        </w:rPr>
        <w:t>第6条（連帯保証）</w:t>
      </w:r>
    </w:p>
    <w:p>
      <w:pPr>
        <w:spacing w:before="0" w:after="100" w:line="260" w:lineRule="exact"/>
      </w:pPr>
      <w:r>
        <w:rPr>
          <w:rFonts w:ascii="Yu Gothic" w:hAnsi="Yu Gothic" w:eastAsia="Yu Gothic"/>
          <w:b w:val="0"/>
          <w:i w:val="0"/>
          <w:color w:val="1A1A1A"/>
          <w:sz w:val="18"/>
        </w:rPr>
        <w:t>1. 連帯保証人鈴木　一郎は、本契約に基づく乙の一切の債務について、乙と連帯してその履行の責を負う。</w:t>
        <w:br/>
        <w:t>2. 連帯保証人の負担する債務の極度額は金100万円とする（借用金額が特定している本契約では極度額の定めは法律上の要件ではないが、保証人の責任の範囲を明確にするため定める。極度額を定めなければ効力を生じないのは、一定の範囲に属する不特定の債務を個人が保証する個人根保証契約＝民法465条の2第2項）。</w:t>
        <w:br/>
        <w:t>3. 連帯保証契約は書面または電磁的記録によるものとする（民法446条2項・3項）。</w:t>
        <w:br/>
        <w:t>4. 甲は、連帯保証人から請求があったときは、遅滞なく乙の債務の不履行の有無・残額・弁済期到来分の額を通知する（民法458条の2）。なお、事業のために負担する債務を保証する場合は、乙が連帯保証人に対し財産・収支の状況等を情報提供する義務を負う（民法465条の10）。</w:t>
      </w:r>
    </w:p>
    <w:p>
      <w:pPr>
        <w:spacing w:before="60" w:after="40"/>
        <w:pStyle w:val="Heading2"/>
        <w:pBdr>
          <w:top w:val="double" w:sz="8" w:space="1" w:color="1B3A5C"/>
        </w:pBdr>
      </w:pPr>
      <w:r>
        <w:rPr>
          <w:rFonts w:ascii="Yu Gothic" w:hAnsi="Yu Gothic" w:eastAsia="Yu Gothic"/>
          <w:b/>
          <w:i w:val="0"/>
          <w:color w:val="1B3A5C"/>
          <w:sz w:val="22"/>
        </w:rPr>
        <w:t>第7条（公正証書化）</w:t>
      </w:r>
    </w:p>
    <w:p>
      <w:pPr>
        <w:spacing w:before="0" w:after="100" w:line="260" w:lineRule="exact"/>
      </w:pPr>
      <w:r>
        <w:rPr>
          <w:rFonts w:ascii="Yu Gothic" w:hAnsi="Yu Gothic" w:eastAsia="Yu Gothic"/>
          <w:b w:val="0"/>
          <w:i w:val="0"/>
          <w:color w:val="1A1A1A"/>
          <w:sz w:val="18"/>
        </w:rPr>
        <w:t>1. 甲が必要と認めた場合、本借用書を執行認諾文言付公正証書（強制執行を直ちに受けることを認諾する旨の記載）として作成することに乙および連帯保証人は協力する。</w:t>
        <w:br/>
        <w:t>2. 公正証書作成費用は乙の負担とする。</w:t>
      </w:r>
    </w:p>
    <w:p>
      <w:pPr>
        <w:spacing w:before="60" w:after="40"/>
        <w:pStyle w:val="Heading2"/>
        <w:pBdr>
          <w:top w:val="double" w:sz="8" w:space="1" w:color="1B3A5C"/>
        </w:pBdr>
      </w:pPr>
      <w:r>
        <w:rPr>
          <w:rFonts w:ascii="Yu Gothic" w:hAnsi="Yu Gothic" w:eastAsia="Yu Gothic"/>
          <w:b/>
          <w:i w:val="0"/>
          <w:color w:val="1B3A5C"/>
          <w:sz w:val="22"/>
        </w:rPr>
        <w:t>第8条（弁済の充当順序）</w:t>
      </w:r>
    </w:p>
    <w:p>
      <w:pPr>
        <w:spacing w:before="0" w:after="100" w:line="260" w:lineRule="exact"/>
      </w:pPr>
      <w:r>
        <w:rPr>
          <w:rFonts w:ascii="Yu Gothic" w:hAnsi="Yu Gothic" w:eastAsia="Yu Gothic"/>
          <w:b w:val="0"/>
          <w:i w:val="0"/>
          <w:color w:val="1A1A1A"/>
          <w:sz w:val="18"/>
        </w:rPr>
        <w:t>甲が乙から弁済を受けたときは、甲乙の合意により、費用、損害金、利息、元金の順に充当する（民法489条は費用・利息・元本の順を定めるが、同法490条により別段の合意ができる）。</w:t>
      </w:r>
    </w:p>
    <w:p>
      <w:pPr>
        <w:spacing w:before="60" w:after="40"/>
        <w:pStyle w:val="Heading2"/>
        <w:pBdr>
          <w:top w:val="double" w:sz="8" w:space="1" w:color="1B3A5C"/>
        </w:pBdr>
      </w:pPr>
      <w:r>
        <w:rPr>
          <w:rFonts w:ascii="Yu Gothic" w:hAnsi="Yu Gothic" w:eastAsia="Yu Gothic"/>
          <w:b/>
          <w:i w:val="0"/>
          <w:color w:val="1B3A5C"/>
          <w:sz w:val="22"/>
        </w:rPr>
        <w:t>第9条（住所変更の通知）</w:t>
      </w:r>
    </w:p>
    <w:p>
      <w:pPr>
        <w:spacing w:before="0" w:after="100" w:line="260" w:lineRule="exact"/>
      </w:pPr>
      <w:r>
        <w:rPr>
          <w:rFonts w:ascii="Yu Gothic" w:hAnsi="Yu Gothic" w:eastAsia="Yu Gothic"/>
          <w:b w:val="0"/>
          <w:i w:val="0"/>
          <w:color w:val="1A1A1A"/>
          <w:sz w:val="18"/>
        </w:rPr>
        <w:t>乙および連帯保証人は、住所、勤務先、連絡先に変更が生じた場合、速やかに甲に通知する。通知を怠ったことにより甲からの通知が到達しなかった場合、通常到達すべき時に到達したものとみなす。</w:t>
      </w:r>
    </w:p>
    <w:p>
      <w:pPr>
        <w:spacing w:before="60" w:after="40"/>
        <w:pStyle w:val="Heading2"/>
        <w:pBdr>
          <w:top w:val="double" w:sz="8" w:space="1" w:color="1B3A5C"/>
        </w:pBdr>
      </w:pPr>
      <w:r>
        <w:rPr>
          <w:rFonts w:ascii="Yu Gothic" w:hAnsi="Yu Gothic" w:eastAsia="Yu Gothic"/>
          <w:b/>
          <w:i w:val="0"/>
          <w:color w:val="1B3A5C"/>
          <w:sz w:val="22"/>
        </w:rPr>
        <w:t>第10条（債権の譲渡）</w:t>
      </w:r>
    </w:p>
    <w:p>
      <w:pPr>
        <w:spacing w:before="0" w:after="100" w:line="260" w:lineRule="exact"/>
      </w:pPr>
      <w:r>
        <w:rPr>
          <w:rFonts w:ascii="Yu Gothic" w:hAnsi="Yu Gothic" w:eastAsia="Yu Gothic"/>
          <w:b w:val="0"/>
          <w:i w:val="0"/>
          <w:color w:val="1A1A1A"/>
          <w:sz w:val="18"/>
        </w:rPr>
        <w:t>甲は本契約に基づく債権を第三者に譲渡することができる。乙は事前に異議を述べないことを確認する。</w:t>
      </w:r>
    </w:p>
    <w:p>
      <w:pPr>
        <w:spacing w:before="60" w:after="40"/>
        <w:pStyle w:val="Heading2"/>
        <w:pBdr>
          <w:top w:val="double" w:sz="8" w:space="1" w:color="1B3A5C"/>
        </w:pBdr>
      </w:pPr>
      <w:r>
        <w:rPr>
          <w:rFonts w:ascii="Yu Gothic" w:hAnsi="Yu Gothic" w:eastAsia="Yu Gothic"/>
          <w:b/>
          <w:i w:val="0"/>
          <w:color w:val="1B3A5C"/>
          <w:sz w:val="22"/>
        </w:rPr>
        <w:t>第11条（合意管轄）</w:t>
      </w:r>
    </w:p>
    <w:p>
      <w:pPr>
        <w:spacing w:before="0" w:after="100" w:line="260" w:lineRule="exact"/>
      </w:pPr>
      <w:r>
        <w:rPr>
          <w:rFonts w:ascii="Yu Gothic" w:hAnsi="Yu Gothic" w:eastAsia="Yu Gothic"/>
          <w:b w:val="0"/>
          <w:i w:val="0"/>
          <w:color w:val="1A1A1A"/>
          <w:sz w:val="18"/>
        </w:rPr>
        <w:t>本契約に関する紛争は、甲の住所地を管轄する地方裁判所を第一審の専属的合意管轄裁判所とする（訴額140万円以下の場合は簡易裁判所）。</w:t>
      </w:r>
    </w:p>
    <w:p>
      <w:pPr>
        <w:spacing w:before="60" w:after="40"/>
        <w:pStyle w:val="Heading2"/>
        <w:pageBreakBefore/>
        <w:pBdr>
          <w:top w:val="double" w:sz="8" w:space="1" w:color="1B3A5C"/>
        </w:pBdr>
      </w:pPr>
      <w:r>
        <w:rPr>
          <w:rFonts w:ascii="Yu Gothic" w:hAnsi="Yu Gothic" w:eastAsia="Yu Gothic"/>
          <w:b/>
          <w:i w:val="0"/>
          <w:color w:val="1B3A5C"/>
          <w:sz w:val="22"/>
        </w:rPr>
        <w:t>第12条（誠実履行・反社会的勢力排除）</w:t>
      </w:r>
    </w:p>
    <w:p>
      <w:pPr>
        <w:spacing w:before="0" w:after="100" w:line="260" w:lineRule="exact"/>
      </w:pPr>
      <w:r>
        <w:rPr>
          <w:rFonts w:ascii="Yu Gothic" w:hAnsi="Yu Gothic" w:eastAsia="Yu Gothic"/>
          <w:b w:val="0"/>
          <w:i w:val="0"/>
          <w:color w:val="1A1A1A"/>
          <w:sz w:val="18"/>
        </w:rPr>
        <w:t>1. 乙および連帯保証人は、本契約記載の債務を誠実に履行することを誓う。</w:t>
        <w:br/>
        <w:t>2. 甲、乙および連帯保証人は、自らおよびその関係者が反社会的勢力に該当しないことを表明保証する。違反時は何らの催告なく本契約を解除し、損害賠償を請求できる。</w:t>
      </w:r>
    </w:p>
    <w:p>
      <w:pPr>
        <w:spacing w:before="80" w:after="120" w:line="270" w:lineRule="exact"/>
      </w:pPr>
      <w:r>
        <w:rPr>
          <w:rFonts w:ascii="Yu Gothic" w:hAnsi="Yu Gothic" w:eastAsia="Yu Gothic"/>
          <w:b w:val="0"/>
          <w:i w:val="0"/>
          <w:color w:val="1A1A1A"/>
          <w:sz w:val="19"/>
        </w:rPr>
        <w:t>本借用書の成立を証するため、本書2通を作成し、甲乙各自署名押印のうえ、各1通を保有する。</w:t>
      </w:r>
    </w:p>
    <w:p>
      <w:pPr>
        <w:spacing w:before="0" w:after="160"/>
        <w:jc w:val="right"/>
      </w:pPr>
      <w:r>
        <w:rPr>
          <w:rFonts w:ascii="Yu Gothic" w:hAnsi="Yu Gothic" w:eastAsia="Yu Gothic"/>
          <w:b w:val="0"/>
          <w:i w:val="0"/>
          <w:color w:val="B3261E"/>
          <w:sz w:val="19"/>
        </w:rPr>
        <w:t>令和7年5月12日</w:t>
      </w:r>
    </w:p>
    <w:p>
      <w:pPr>
        <w:spacing w:before="60" w:after="40"/>
        <w:pStyle w:val="Heading2"/>
        <w:pBdr>
          <w:top w:val="double" w:sz="8" w:space="1" w:color="1B3A5C"/>
        </w:pBdr>
      </w:pPr>
      <w:r>
        <w:rPr>
          <w:rFonts w:ascii="Yu Gothic" w:hAnsi="Yu Gothic" w:eastAsia="Yu Gothic"/>
          <w:b/>
          <w:i w:val="0"/>
          <w:color w:val="1B3A5C"/>
          <w:sz w:val="22"/>
        </w:rPr>
        <w:t>乙（借主）（記入例）</w:t>
      </w:r>
    </w:p>
    <w:tbl>
      <w:tblPr>
        <w:tblW w:type="dxa" w:w="9865"/>
        <w:tblInd w:w="113" w:type="dxa"/>
        <w:tblBorders>
          <w:top w:val="nil"/>
          <w:left w:val="nil"/>
          <w:bottom w:val="nil"/>
          <w:right w:val="nil"/>
          <w:insideH w:val="nil"/>
          <w:insideV w:val="nil"/>
        </w:tblBorders>
        <w:tblLayout w:type="fixed"/>
      </w:tblPr>
      <w:tblGrid>
        <w:gridCol w:w="1928"/>
        <w:gridCol w:w="3969"/>
        <w:gridCol w:w="1304"/>
        <w:gridCol w:w="1474"/>
        <w:gridCol w:w="1191"/>
      </w:tblGrid>
      <w:tr>
        <w:trPr>
          <w:cantSplit/>
          <w:trHeight w:val="62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7937"/>
            <w:gridSpan w:val="4"/>
            <w:tcMar>
              <w:top w:w="85" w:type="dxa"/>
              <w:bottom w:w="8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B3261E"/>
                <w:sz w:val="20"/>
              </w:rPr>
              <w:t>東京都新宿区西新宿2-2-2</w:t>
            </w:r>
          </w:p>
        </w:tc>
      </w:tr>
      <w:tr>
        <w:trPr>
          <w:cantSplit/>
          <w:trHeight w:val="45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746"/>
            <w:gridSpan w:val="3"/>
            <w:tcMar>
              <w:top w:w="85" w:type="dxa"/>
              <w:bottom w:w="85" w:type="dxa"/>
              <w:left w:w="113" w:type="dxa"/>
              <w:right w:w="113" w:type="dxa"/>
            </w:tcMar>
            <w:vAlign w:val="center"/>
            <w:tcBorders>
              <w:top w:val="single" w:sz="3" w:space="0" w:color="B9C4CF"/>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B3261E"/>
                <w:sz w:val="20"/>
              </w:rPr>
              <w:t>佐藤　次郎</w:t>
            </w:r>
          </w:p>
        </w:tc>
        <w:tc>
          <w:tcPr>
            <w:tcW w:type="dxa" w:w="1191"/>
            <w:tcMar>
              <w:top w:w="85" w:type="dxa"/>
              <w:bottom w:w="8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jc w:val="center"/>
            </w:pPr>
            <w:r>
              <w:rPr>
                <w:rFonts w:ascii="Yu Gothic" w:hAnsi="Yu Gothic" w:eastAsia="Yu Gothic"/>
                <w:b w:val="0"/>
                <w:i w:val="0"/>
                <w:color w:val="B9C4CF"/>
                <w:sz w:val="26"/>
              </w:rPr>
              <w:t>㊞</w:t>
            </w:r>
          </w:p>
        </w:tc>
      </w:tr>
      <w:tr>
        <w:trPr>
          <w:cantSplit/>
          <w:trHeight w:val="45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6"/>
              </w:rPr>
              <w:t>生年月日</w:t>
            </w:r>
          </w:p>
        </w:tc>
        <w:tc>
          <w:tcPr>
            <w:tcW w:type="dxa" w:w="3969"/>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B3261E"/>
                <w:sz w:val="19"/>
              </w:rPr>
              <w:t>平成2年7月15日</w:t>
            </w:r>
          </w:p>
        </w:tc>
        <w:tc>
          <w:tcPr>
            <w:tcW w:type="dxa" w:w="1304"/>
            <w:tcMar>
              <w:top w:w="85" w:type="dxa"/>
              <w:bottom w:w="85" w:type="dxa"/>
              <w:left w:w="113" w:type="dxa"/>
              <w:right w:w="113" w:type="dxa"/>
            </w:tcMar>
            <w:shd w:val="clear" w:color="auto" w:fill="F2F2EF"/>
            <w:vAlign w:val="center"/>
            <w:tcBorders>
              <w:top w:val="single" w:sz="3" w:space="0" w:color="B9C4CF"/>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6"/>
              </w:rPr>
            </w:r>
          </w:p>
        </w:tc>
        <w:tc>
          <w:tcPr>
            <w:tcW w:type="dxa" w:w="2665"/>
            <w:gridSpan w:val="2"/>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pPr>
          </w:p>
        </w:tc>
      </w:tr>
    </w:tbl>
    <w:p>
      <w:pPr>
        <w:spacing w:before="0" w:after="0" w:line="142" w:lineRule="exact"/>
      </w:pPr>
    </w:p>
    <w:p>
      <w:pPr>
        <w:spacing w:before="60" w:after="40"/>
        <w:pStyle w:val="Heading2"/>
        <w:pBdr>
          <w:top w:val="double" w:sz="8" w:space="1" w:color="1B3A5C"/>
        </w:pBdr>
      </w:pPr>
      <w:r>
        <w:rPr>
          <w:rFonts w:ascii="Yu Gothic" w:hAnsi="Yu Gothic" w:eastAsia="Yu Gothic"/>
          <w:b/>
          <w:i w:val="0"/>
          <w:color w:val="1B3A5C"/>
          <w:sz w:val="22"/>
        </w:rPr>
        <w:t>連帯保証人（記入例）</w:t>
      </w:r>
    </w:p>
    <w:tbl>
      <w:tblPr>
        <w:tblW w:type="dxa" w:w="9865"/>
        <w:tblInd w:w="113" w:type="dxa"/>
        <w:tblBorders>
          <w:top w:val="nil"/>
          <w:left w:val="nil"/>
          <w:bottom w:val="nil"/>
          <w:right w:val="nil"/>
          <w:insideH w:val="nil"/>
          <w:insideV w:val="nil"/>
        </w:tblBorders>
        <w:tblLayout w:type="fixed"/>
      </w:tblPr>
      <w:tblGrid>
        <w:gridCol w:w="1928"/>
        <w:gridCol w:w="3969"/>
        <w:gridCol w:w="1304"/>
        <w:gridCol w:w="1474"/>
        <w:gridCol w:w="1191"/>
      </w:tblGrid>
      <w:tr>
        <w:trPr>
          <w:cantSplit/>
          <w:trHeight w:val="62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7937"/>
            <w:gridSpan w:val="4"/>
            <w:tcMar>
              <w:top w:w="85" w:type="dxa"/>
              <w:bottom w:w="8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B3261E"/>
                <w:sz w:val="20"/>
              </w:rPr>
              <w:t>東京都豊島区南池袋3-3-3</w:t>
            </w:r>
          </w:p>
        </w:tc>
      </w:tr>
      <w:tr>
        <w:trPr>
          <w:cantSplit/>
          <w:trHeight w:val="45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746"/>
            <w:gridSpan w:val="3"/>
            <w:tcMar>
              <w:top w:w="85" w:type="dxa"/>
              <w:bottom w:w="85" w:type="dxa"/>
              <w:left w:w="113" w:type="dxa"/>
              <w:right w:w="113" w:type="dxa"/>
            </w:tcMar>
            <w:vAlign w:val="center"/>
            <w:tcBorders>
              <w:top w:val="single" w:sz="3" w:space="0" w:color="B9C4CF"/>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B3261E"/>
                <w:sz w:val="20"/>
              </w:rPr>
              <w:t>鈴木　一郎</w:t>
            </w:r>
          </w:p>
        </w:tc>
        <w:tc>
          <w:tcPr>
            <w:tcW w:type="dxa" w:w="1191"/>
            <w:tcMar>
              <w:top w:w="85" w:type="dxa"/>
              <w:bottom w:w="8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jc w:val="center"/>
            </w:pPr>
            <w:r>
              <w:rPr>
                <w:rFonts w:ascii="Yu Gothic" w:hAnsi="Yu Gothic" w:eastAsia="Yu Gothic"/>
                <w:b w:val="0"/>
                <w:i w:val="0"/>
                <w:color w:val="B9C4CF"/>
                <w:sz w:val="26"/>
              </w:rPr>
              <w:t>㊞</w:t>
            </w:r>
          </w:p>
        </w:tc>
      </w:tr>
      <w:tr>
        <w:trPr>
          <w:cantSplit/>
          <w:trHeight w:val="45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6"/>
              </w:rPr>
              <w:t>生年月日</w:t>
            </w:r>
          </w:p>
        </w:tc>
        <w:tc>
          <w:tcPr>
            <w:tcW w:type="dxa" w:w="3969"/>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B3261E"/>
                <w:sz w:val="19"/>
              </w:rPr>
              <w:t>昭和58年9月9日</w:t>
            </w:r>
          </w:p>
        </w:tc>
        <w:tc>
          <w:tcPr>
            <w:tcW w:type="dxa" w:w="1304"/>
            <w:tcMar>
              <w:top w:w="85" w:type="dxa"/>
              <w:bottom w:w="85" w:type="dxa"/>
              <w:left w:w="113" w:type="dxa"/>
              <w:right w:w="113" w:type="dxa"/>
            </w:tcMar>
            <w:shd w:val="clear" w:color="auto" w:fill="F2F2EF"/>
            <w:vAlign w:val="center"/>
            <w:tcBorders>
              <w:top w:val="single" w:sz="3" w:space="0" w:color="B9C4CF"/>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6"/>
              </w:rPr>
              <w:t>極度額</w:t>
            </w:r>
          </w:p>
        </w:tc>
        <w:tc>
          <w:tcPr>
            <w:tcW w:type="dxa" w:w="2665"/>
            <w:gridSpan w:val="2"/>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B3261E"/>
                <w:sz w:val="19"/>
              </w:rPr>
              <w:t>金100万円</w:t>
            </w:r>
          </w:p>
        </w:tc>
      </w:tr>
    </w:tbl>
    <w:p>
      <w:pPr>
        <w:spacing w:before="0" w:after="0" w:line="142" w:lineRule="exact"/>
      </w:pPr>
    </w:p>
    <w:p>
      <w:pPr>
        <w:spacing w:before="60" w:after="40"/>
        <w:pStyle w:val="Heading2"/>
        <w:pBdr>
          <w:top w:val="double" w:sz="8" w:space="1" w:color="1B3A5C"/>
        </w:pBdr>
      </w:pPr>
      <w:r>
        <w:rPr>
          <w:rFonts w:ascii="Yu Gothic" w:hAnsi="Yu Gothic" w:eastAsia="Yu Gothic"/>
          <w:b/>
          <w:i w:val="0"/>
          <w:color w:val="1B3A5C"/>
          <w:sz w:val="22"/>
        </w:rPr>
        <w:t>甲（貸主）（記入例）</w:t>
      </w:r>
    </w:p>
    <w:tbl>
      <w:tblPr>
        <w:tblW w:type="dxa" w:w="9865"/>
        <w:tblInd w:w="113" w:type="dxa"/>
        <w:tblBorders>
          <w:top w:val="nil"/>
          <w:left w:val="nil"/>
          <w:bottom w:val="nil"/>
          <w:right w:val="nil"/>
          <w:insideH w:val="nil"/>
          <w:insideV w:val="nil"/>
        </w:tblBorders>
        <w:tblLayout w:type="fixed"/>
      </w:tblPr>
      <w:tblGrid>
        <w:gridCol w:w="1928"/>
        <w:gridCol w:w="6746"/>
        <w:gridCol w:w="1191"/>
      </w:tblGrid>
      <w:tr>
        <w:trPr>
          <w:cantSplit/>
          <w:trHeight w:val="62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7937"/>
            <w:gridSpan w:val="2"/>
            <w:tcMar>
              <w:top w:w="85" w:type="dxa"/>
              <w:bottom w:w="8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B3261E"/>
                <w:sz w:val="20"/>
              </w:rPr>
              <w:t>東京都千代田区丸の内1-1-1</w:t>
            </w:r>
          </w:p>
        </w:tc>
      </w:tr>
      <w:tr>
        <w:trPr>
          <w:cantSplit/>
          <w:trHeight w:val="45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746"/>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B3261E"/>
                <w:sz w:val="20"/>
              </w:rPr>
              <w:t>田中　太郎</w:t>
            </w:r>
          </w:p>
        </w:tc>
        <w:tc>
          <w:tcPr>
            <w:tcW w:type="dxa" w:w="1191"/>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jc w:val="center"/>
            </w:pPr>
            <w:r>
              <w:rPr>
                <w:rFonts w:ascii="Yu Gothic" w:hAnsi="Yu Gothic" w:eastAsia="Yu Gothic"/>
                <w:b w:val="0"/>
                <w:i w:val="0"/>
                <w:color w:val="B9C4CF"/>
                <w:sz w:val="26"/>
              </w:rPr>
              <w:t>㊞</w:t>
            </w:r>
          </w:p>
        </w:tc>
      </w:tr>
    </w:tbl>
    <w:p>
      <w:pPr>
        <w:spacing w:before="0" w:after="0" w:line="142" w:lineRule="exact"/>
      </w:pPr>
    </w:p>
    <w:p>
      <w:pPr>
        <w:spacing w:before="0" w:after="20" w:line="210" w:lineRule="exact"/>
      </w:pPr>
      <w:r>
        <w:rPr>
          <w:rFonts w:ascii="Yu Gothic" w:hAnsi="Yu Gothic" w:eastAsia="Yu Gothic"/>
          <w:b w:val="0"/>
          <w:i w:val="0"/>
          <w:color w:val="66707A"/>
          <w:sz w:val="15"/>
        </w:rPr>
        <w:t>※ 借用金額1万円以上は印紙税法に基づく収入印紙の貼付が必要（印紙税法 別表第一 第1号の3 消費貸借に関する契約書。1万円未満：非課税／10万円以下：200円／50万円以下：400円／100万円以下：1,000円／500万円以下：2,000円／1,000万円以下：10,000円／5,000万円以下：20,000円／1億円以下：60,000円／5億円以下：100,000円／10億円以下：200,000円／50億円以下：400,000円／50億円超：600,000円／契約金額の記載のないもの：200円）。</w:t>
      </w:r>
    </w:p>
    <w:p>
      <w:pPr>
        <w:spacing w:before="0" w:after="20" w:line="210" w:lineRule="exact"/>
      </w:pPr>
      <w:r>
        <w:rPr>
          <w:rFonts w:ascii="Yu Gothic" w:hAnsi="Yu Gothic" w:eastAsia="Yu Gothic"/>
          <w:b w:val="0"/>
          <w:i w:val="0"/>
          <w:color w:val="66707A"/>
          <w:sz w:val="15"/>
        </w:rPr>
        <w:t>※ 連帯保証契約は書面（または電磁的記録）でしなければ効力を生じない（民法446条2項・3項）。極度額を定めなければ効力を生じないのは「一定の範囲に属する不特定の債務」を個人が保証する個人根保証契約（民法465条の2第2項）で、本契約のように借用金額が特定している保証には適用されない。それでも責任の範囲をはっきりさせるため極度額を定めておくことを勧める。</w:t>
      </w:r>
    </w:p>
    <w:p>
      <w:pPr>
        <w:spacing w:before="0" w:after="20" w:line="210" w:lineRule="exact"/>
      </w:pPr>
      <w:r>
        <w:rPr>
          <w:rFonts w:ascii="Yu Gothic" w:hAnsi="Yu Gothic" w:eastAsia="Yu Gothic"/>
          <w:b w:val="0"/>
          <w:i w:val="0"/>
          <w:color w:val="66707A"/>
          <w:sz w:val="15"/>
        </w:rPr>
        <w:t>※ 金銭の一定の額の支払を目的とする請求について公証人が作成した公正証書で、債務者が直ちに強制執行に服する旨の陳述が記載されたもの（執行証書）は、訴訟を経ずに強制執行の根拠（債務名義）になる（民事執行法22条5号）。</w:t>
      </w:r>
    </w:p>
    <w:p>
      <w:pPr>
        <w:spacing w:before="0" w:after="20" w:line="210" w:lineRule="exact"/>
      </w:pPr>
      <w:r>
        <w:rPr>
          <w:rFonts w:ascii="Yu Gothic" w:hAnsi="Yu Gothic" w:eastAsia="Yu Gothic"/>
          <w:b w:val="0"/>
          <w:i w:val="0"/>
          <w:color w:val="66707A"/>
          <w:sz w:val="15"/>
        </w:rPr>
        <w:t>※ 利息制限法・出資法を超える利息を定めた場合、超過部分は無効、または刑事罰の対象となります。</w:t>
      </w:r>
    </w:p>
    <w:p>
      <w:pPr>
        <w:spacing w:before="0" w:after="0" w:line="28" w:lineRule="exact"/>
      </w:pPr>
      <w:r>
        <w:br w:type="page"/>
      </w:r>
    </w:p>
    <w:p>
      <w:pPr>
        <w:spacing w:before="20" w:after="60"/>
        <w:pStyle w:val="Heading1"/>
        <w:pBdr>
          <w:bottom w:val="double" w:sz="10" w:space="1" w:color="1B3A5C"/>
        </w:pBdr>
      </w:pPr>
      <w:r>
        <w:rPr>
          <w:rFonts w:ascii="Yu Mincho" w:hAnsi="Yu Mincho" w:eastAsia="Yu Mincho"/>
          <w:b/>
          <w:i w:val="0"/>
          <w:color w:val="1B3A5C"/>
          <w:sz w:val="36"/>
          <w:spacing w:val="36"/>
        </w:rPr>
        <w:t>元利金返済表（参考）</w:t>
      </w:r>
    </w:p>
    <w:p>
      <w:pPr>
        <w:spacing w:before="0" w:after="40"/>
      </w:pPr>
      <w:r>
        <w:rPr>
          <w:rFonts w:ascii="Yu Gothic" w:hAnsi="Yu Gothic" w:eastAsia="Yu Gothic"/>
          <w:b/>
          <w:i w:val="0"/>
          <w:color w:val="1B3A5C"/>
          <w:sz w:val="19"/>
        </w:rPr>
        <w:t>元利金返済表（毎月均等返済 ・ 元利均等方式）</w:t>
      </w:r>
    </w:p>
    <w:p>
      <w:pPr>
        <w:spacing w:before="0" w:after="80"/>
      </w:pPr>
      <w:r>
        <w:rPr>
          <w:rFonts w:ascii="Yu Gothic" w:hAnsi="Yu Gothic" w:eastAsia="Yu Gothic"/>
          <w:b w:val="0"/>
          <w:i w:val="0"/>
          <w:color w:val="1A1A1A"/>
          <w:sz w:val="17"/>
        </w:rPr>
        <w:t>前提: 元本¥1,000,000 / 年利10% / 12回返済 / 元利均等</w:t>
      </w:r>
    </w:p>
    <w:tbl>
      <w:tblPr>
        <w:tblW w:type="dxa" w:w="9694"/>
        <w:tblInd w:w="113" w:type="dxa"/>
        <w:tblBorders>
          <w:top w:val="nil"/>
          <w:left w:val="nil"/>
          <w:bottom w:val="nil"/>
          <w:right w:val="nil"/>
          <w:insideH w:val="nil"/>
          <w:insideV w:val="nil"/>
        </w:tblBorders>
        <w:tblLayout w:type="fixed"/>
      </w:tblPr>
      <w:tblGrid>
        <w:gridCol w:w="794"/>
        <w:gridCol w:w="2098"/>
        <w:gridCol w:w="1701"/>
        <w:gridCol w:w="1701"/>
        <w:gridCol w:w="1701"/>
        <w:gridCol w:w="1701"/>
      </w:tblGrid>
      <w:tr>
        <w:trPr>
          <w:cantSplit/>
          <w:trHeight w:val="425" w:hRule="atLeast"/>
        </w:trPr>
        <w:tc>
          <w:tcPr>
            <w:tcW w:type="dxa" w:w="794"/>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回</w:t>
            </w:r>
          </w:p>
        </w:tc>
        <w:tc>
          <w:tcPr>
            <w:tcW w:type="dxa" w:w="2098"/>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返済日</w:t>
            </w:r>
          </w:p>
        </w:tc>
        <w:tc>
          <w:tcPr>
            <w:tcW w:type="dxa" w:w="170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返済額</w:t>
            </w:r>
          </w:p>
        </w:tc>
        <w:tc>
          <w:tcPr>
            <w:tcW w:type="dxa" w:w="170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元本充当</w:t>
            </w:r>
          </w:p>
        </w:tc>
        <w:tc>
          <w:tcPr>
            <w:tcW w:type="dxa" w:w="170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利息充当</w:t>
            </w:r>
          </w:p>
        </w:tc>
        <w:tc>
          <w:tcPr>
            <w:tcW w:type="dxa" w:w="170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残元本</w:t>
            </w:r>
          </w:p>
        </w:tc>
      </w:tr>
      <w:tr>
        <w:trPr>
          <w:cantSplit/>
          <w:trHeight w:val="329"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1</w:t>
            </w:r>
          </w:p>
        </w:tc>
        <w:tc>
          <w:tcPr>
            <w:tcW w:type="dxa" w:w="209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令和7年6月10日</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¥87,916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¥79,583</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¥8,333</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¥920,417</w:t>
            </w:r>
          </w:p>
        </w:tc>
      </w:tr>
      <w:tr>
        <w:trPr>
          <w:cantSplit/>
          <w:trHeight w:val="329"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2</w:t>
            </w:r>
          </w:p>
        </w:tc>
        <w:tc>
          <w:tcPr>
            <w:tcW w:type="dxa" w:w="209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令和7年7月10日</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¥87,916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¥80,246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¥7,670</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¥840,171</w:t>
            </w:r>
          </w:p>
        </w:tc>
      </w:tr>
      <w:tr>
        <w:trPr>
          <w:cantSplit/>
          <w:trHeight w:val="329"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3</w:t>
            </w:r>
          </w:p>
        </w:tc>
        <w:tc>
          <w:tcPr>
            <w:tcW w:type="dxa" w:w="209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令和7年8月10日</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¥87,916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¥80,915</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¥7,001</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¥759,256</w:t>
            </w:r>
          </w:p>
        </w:tc>
      </w:tr>
      <w:tr>
        <w:trPr>
          <w:cantSplit/>
          <w:trHeight w:val="329"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4</w:t>
            </w:r>
          </w:p>
        </w:tc>
        <w:tc>
          <w:tcPr>
            <w:tcW w:type="dxa" w:w="209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令和7年9月10日</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¥87,916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¥81,589</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¥6,327</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¥677,667</w:t>
            </w:r>
          </w:p>
        </w:tc>
      </w:tr>
      <w:tr>
        <w:trPr>
          <w:cantSplit/>
          <w:trHeight w:val="329"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5</w:t>
            </w:r>
          </w:p>
        </w:tc>
        <w:tc>
          <w:tcPr>
            <w:tcW w:type="dxa" w:w="209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令和7年10月10日</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¥87,916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¥82,269</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¥5,647</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¥595,398</w:t>
            </w:r>
          </w:p>
        </w:tc>
      </w:tr>
      <w:tr>
        <w:trPr>
          <w:cantSplit/>
          <w:trHeight w:val="329"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6</w:t>
            </w:r>
          </w:p>
        </w:tc>
        <w:tc>
          <w:tcPr>
            <w:tcW w:type="dxa" w:w="209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令和7年11月10日</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¥87,916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¥82,954</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¥4,962</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¥512,444</w:t>
            </w:r>
          </w:p>
        </w:tc>
      </w:tr>
      <w:tr>
        <w:trPr>
          <w:cantSplit/>
          <w:trHeight w:val="329"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7</w:t>
            </w:r>
          </w:p>
        </w:tc>
        <w:tc>
          <w:tcPr>
            <w:tcW w:type="dxa" w:w="209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令和7年12月10日</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¥87,916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¥83,646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¥4,270</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¥428,798</w:t>
            </w:r>
          </w:p>
        </w:tc>
      </w:tr>
      <w:tr>
        <w:trPr>
          <w:cantSplit/>
          <w:trHeight w:val="329"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8</w:t>
            </w:r>
          </w:p>
        </w:tc>
        <w:tc>
          <w:tcPr>
            <w:tcW w:type="dxa" w:w="209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令和8年1月10日</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¥87,916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¥84,343</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¥3,573</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¥344,455</w:t>
            </w:r>
          </w:p>
        </w:tc>
      </w:tr>
      <w:tr>
        <w:trPr>
          <w:cantSplit/>
          <w:trHeight w:val="329"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9</w:t>
            </w:r>
          </w:p>
        </w:tc>
        <w:tc>
          <w:tcPr>
            <w:tcW w:type="dxa" w:w="209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令和8年2月10日</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¥87,916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¥85,046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¥2,870</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¥259,409</w:t>
            </w:r>
          </w:p>
        </w:tc>
      </w:tr>
      <w:tr>
        <w:trPr>
          <w:cantSplit/>
          <w:trHeight w:val="329"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10</w:t>
            </w:r>
          </w:p>
        </w:tc>
        <w:tc>
          <w:tcPr>
            <w:tcW w:type="dxa" w:w="209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令和8年3月10日</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¥87,916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¥85,754</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¥2,162</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¥173,655</w:t>
            </w:r>
          </w:p>
        </w:tc>
      </w:tr>
      <w:tr>
        <w:trPr>
          <w:cantSplit/>
          <w:trHeight w:val="329"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11</w:t>
            </w:r>
          </w:p>
        </w:tc>
        <w:tc>
          <w:tcPr>
            <w:tcW w:type="dxa" w:w="2098"/>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令和8年4月10日</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¥87,916</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¥86,469</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¥1,447</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¥87,186</w:t>
            </w:r>
          </w:p>
        </w:tc>
      </w:tr>
      <w:tr>
        <w:trPr>
          <w:cantSplit/>
          <w:trHeight w:val="329" w:hRule="atLeast"/>
        </w:trPr>
        <w:tc>
          <w:tcPr>
            <w:tcW w:type="dxa" w:w="794"/>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12</w:t>
            </w:r>
          </w:p>
        </w:tc>
        <w:tc>
          <w:tcPr>
            <w:tcW w:type="dxa" w:w="2098"/>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jc w:val="right"/>
            </w:pPr>
            <w:r>
              <w:rPr>
                <w:rFonts w:ascii="Yu Gothic" w:hAnsi="Yu Gothic" w:eastAsia="Yu Gothic"/>
                <w:b w:val="0"/>
                <w:i w:val="0"/>
                <w:color w:val="1A1A1A"/>
                <w:sz w:val="19"/>
              </w:rPr>
              <w:t>令和8年5月10日</w:t>
            </w:r>
          </w:p>
        </w:tc>
        <w:tc>
          <w:tcPr>
            <w:tcW w:type="dxa" w:w="170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¥87,913</w:t>
            </w:r>
          </w:p>
        </w:tc>
        <w:tc>
          <w:tcPr>
            <w:tcW w:type="dxa" w:w="170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¥87,186</w:t>
            </w:r>
          </w:p>
        </w:tc>
        <w:tc>
          <w:tcPr>
            <w:tcW w:type="dxa" w:w="170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jc w:val="right"/>
            </w:pPr>
            <w:r>
              <w:rPr>
                <w:rFonts w:ascii="Yu Gothic" w:hAnsi="Yu Gothic" w:eastAsia="Yu Gothic"/>
                <w:b w:val="0"/>
                <w:i w:val="0"/>
                <w:color w:val="1A1A1A"/>
                <w:sz w:val="19"/>
              </w:rPr>
              <w:t>¥727</w:t>
            </w:r>
          </w:p>
        </w:tc>
        <w:tc>
          <w:tcPr>
            <w:tcW w:type="dxa" w:w="1701"/>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¥0</w:t>
            </w:r>
          </w:p>
        </w:tc>
      </w:tr>
    </w:tbl>
    <w:p>
      <w:pPr>
        <w:spacing w:before="0" w:after="0" w:line="113" w:lineRule="exact"/>
      </w:pPr>
    </w:p>
    <w:p>
      <w:pPr>
        <w:spacing w:before="0" w:after="20" w:line="210" w:lineRule="exact"/>
      </w:pPr>
      <w:r>
        <w:rPr>
          <w:rFonts w:ascii="Yu Gothic" w:hAnsi="Yu Gothic" w:eastAsia="Yu Gothic"/>
          <w:b w:val="0"/>
          <w:i w:val="0"/>
          <w:color w:val="66707A"/>
          <w:sz w:val="15"/>
        </w:rPr>
        <w:t>※ 元利均等方式は毎月の返済額が一定になる方式。利息部分が漸減し元本部分が漸増する。</w:t>
      </w:r>
    </w:p>
    <w:p>
      <w:pPr>
        <w:spacing w:before="0" w:after="20" w:line="210" w:lineRule="exact"/>
      </w:pPr>
      <w:r>
        <w:rPr>
          <w:rFonts w:ascii="Yu Gothic" w:hAnsi="Yu Gothic" w:eastAsia="Yu Gothic"/>
          <w:b w:val="0"/>
          <w:i w:val="0"/>
          <w:color w:val="66707A"/>
          <w:sz w:val="15"/>
        </w:rPr>
        <w:t>※ 元金均等方式は毎月の元本充当が一定。当初の返済額が大きく徐々に減少する。</w:t>
      </w:r>
    </w:p>
    <w:p>
      <w:pPr>
        <w:spacing w:before="0" w:after="0" w:line="28" w:lineRule="exact"/>
      </w:pPr>
      <w:r>
        <w:br w:type="page"/>
      </w:r>
    </w:p>
    <w:p>
      <w:pPr>
        <w:spacing w:before="20" w:after="60"/>
        <w:pStyle w:val="Heading1"/>
        <w:pBdr>
          <w:bottom w:val="double" w:sz="10" w:space="1" w:color="1B3A5C"/>
        </w:pBdr>
      </w:pPr>
      <w:r>
        <w:rPr>
          <w:rFonts w:ascii="Yu Mincho" w:hAnsi="Yu Mincho" w:eastAsia="Yu Mincho"/>
          <w:b/>
          <w:i w:val="0"/>
          <w:color w:val="1B3A5C"/>
          <w:sz w:val="36"/>
          <w:spacing w:val="36"/>
        </w:rPr>
        <w:t>利用ガイド・関連法令</w:t>
      </w:r>
    </w:p>
    <w:p>
      <w:pPr>
        <w:spacing w:before="60" w:after="40"/>
        <w:pStyle w:val="Heading2"/>
        <w:pBdr>
          <w:top w:val="double" w:sz="8" w:space="1" w:color="1B3A5C"/>
        </w:pBdr>
      </w:pPr>
      <w:r>
        <w:rPr>
          <w:rFonts w:ascii="Yu Gothic" w:hAnsi="Yu Gothic" w:eastAsia="Yu Gothic"/>
          <w:b/>
          <w:i w:val="0"/>
          <w:color w:val="1B3A5C"/>
          <w:sz w:val="22"/>
        </w:rPr>
        <w:t>使い方ガイド</w:t>
      </w:r>
    </w:p>
    <w:p>
      <w:pPr>
        <w:spacing w:before="0" w:after="40" w:line="260" w:lineRule="exact"/>
      </w:pPr>
      <w:r>
        <w:rPr>
          <w:rFonts w:ascii="Yu Gothic" w:hAnsi="Yu Gothic" w:eastAsia="Yu Gothic"/>
          <w:b w:val="0"/>
          <w:i w:val="0"/>
          <w:color w:val="1A1A1A"/>
          <w:sz w:val="18"/>
        </w:rPr>
        <w:t>1) 利息制限法は元本額に応じて上限利率を定めています。これを超える利息は無効。</w:t>
      </w:r>
    </w:p>
    <w:p>
      <w:pPr>
        <w:spacing w:before="0" w:after="40" w:line="260" w:lineRule="exact"/>
      </w:pPr>
      <w:r>
        <w:rPr>
          <w:rFonts w:ascii="Yu Gothic" w:hAnsi="Yu Gothic" w:eastAsia="Yu Gothic"/>
          <w:b w:val="0"/>
          <w:i w:val="0"/>
          <w:color w:val="1A1A1A"/>
          <w:sz w:val="18"/>
        </w:rPr>
        <w:t xml:space="preserve">   ・元本10万円未満 → 年20%   ・10万円以上100万円未満 → 年18%   ・100万円以上 → 年15%</w:t>
      </w:r>
    </w:p>
    <w:p>
      <w:pPr>
        <w:spacing w:before="0" w:after="40" w:line="260" w:lineRule="exact"/>
      </w:pPr>
      <w:r>
        <w:rPr>
          <w:rFonts w:ascii="Yu Gothic" w:hAnsi="Yu Gothic" w:eastAsia="Yu Gothic"/>
          <w:b w:val="0"/>
          <w:i w:val="0"/>
          <w:color w:val="1A1A1A"/>
          <w:sz w:val="18"/>
        </w:rPr>
        <w:t>2) 遅延損害金（賠償額の予定）の上限は、利息制限法4条1項により同法1条の制限利率の1.46倍。</w:t>
      </w:r>
    </w:p>
    <w:p>
      <w:pPr>
        <w:spacing w:before="0" w:after="40" w:line="260" w:lineRule="exact"/>
      </w:pPr>
      <w:r>
        <w:rPr>
          <w:rFonts w:ascii="Yu Gothic" w:hAnsi="Yu Gothic" w:eastAsia="Yu Gothic"/>
          <w:b w:val="0"/>
          <w:i w:val="0"/>
          <w:color w:val="1A1A1A"/>
          <w:sz w:val="18"/>
        </w:rPr>
        <w:t xml:space="preserve">   ・元本10万円未満 → 年29.2%   ・10万円以上100万円未満 → 年26.28%   ・100万円以上 → 年21.9%</w:t>
      </w:r>
    </w:p>
    <w:p>
      <w:pPr>
        <w:spacing w:before="0" w:after="40" w:line="260" w:lineRule="exact"/>
      </w:pPr>
      <w:r>
        <w:rPr>
          <w:rFonts w:ascii="Yu Gothic" w:hAnsi="Yu Gothic" w:eastAsia="Yu Gothic"/>
          <w:b w:val="0"/>
          <w:i w:val="0"/>
          <w:color w:val="1A1A1A"/>
          <w:sz w:val="18"/>
        </w:rPr>
        <w:t>3) 「公正証書」にすることで、強制執行認諾文言があれば裁判を経ずに強制執行できます。</w:t>
      </w:r>
    </w:p>
    <w:p>
      <w:pPr>
        <w:spacing w:before="0" w:after="40" w:line="260" w:lineRule="exact"/>
      </w:pPr>
      <w:r>
        <w:rPr>
          <w:rFonts w:ascii="Yu Gothic" w:hAnsi="Yu Gothic" w:eastAsia="Yu Gothic"/>
          <w:b w:val="0"/>
          <w:i w:val="0"/>
          <w:color w:val="1A1A1A"/>
          <w:sz w:val="18"/>
        </w:rPr>
        <w:t xml:space="preserve">   公証人の手数料は公証人手数料令の別表で目的の価額ごとに決まっています（50万円以下は3,000円から。令和7年10月1日に改定）。</w:t>
      </w:r>
    </w:p>
    <w:p>
      <w:pPr>
        <w:spacing w:before="0" w:after="40" w:line="260" w:lineRule="exact"/>
      </w:pPr>
      <w:r>
        <w:rPr>
          <w:rFonts w:ascii="Yu Gothic" w:hAnsi="Yu Gothic" w:eastAsia="Yu Gothic"/>
          <w:b w:val="0"/>
          <w:i w:val="0"/>
          <w:color w:val="1A1A1A"/>
          <w:sz w:val="18"/>
        </w:rPr>
        <w:t>4) 金額が大きい・返済が長期にわたる場合は、公正証書にするかを検討してください。</w:t>
      </w:r>
    </w:p>
    <w:p>
      <w:pPr>
        <w:spacing w:before="0" w:after="40" w:line="260" w:lineRule="exact"/>
      </w:pPr>
      <w:r>
        <w:rPr>
          <w:rFonts w:ascii="Yu Gothic" w:hAnsi="Yu Gothic" w:eastAsia="Yu Gothic"/>
          <w:b w:val="0"/>
          <w:i w:val="0"/>
          <w:color w:val="1A1A1A"/>
          <w:sz w:val="18"/>
        </w:rPr>
        <w:t>5) 連帯保証人を付ける場合は別途「連帯保証契約書」を作る方法もある（個人が不特定の債務を保証する個人根保証契約では極度額の明示が必須）。</w:t>
      </w:r>
    </w:p>
    <w:p>
      <w:pPr>
        <w:spacing w:before="60" w:after="40"/>
        <w:pStyle w:val="Heading2"/>
        <w:pBdr>
          <w:top w:val="double" w:sz="8" w:space="1" w:color="1B3A5C"/>
        </w:pBdr>
      </w:pPr>
      <w:r>
        <w:rPr>
          <w:rFonts w:ascii="Yu Gothic" w:hAnsi="Yu Gothic" w:eastAsia="Yu Gothic"/>
          <w:b/>
          <w:i w:val="0"/>
          <w:color w:val="1B3A5C"/>
          <w:sz w:val="22"/>
        </w:rPr>
        <w:t>関連法令</w:t>
      </w:r>
    </w:p>
    <w:p>
      <w:pPr>
        <w:spacing w:before="0" w:after="20"/>
      </w:pPr>
      <w:r>
        <w:rPr>
          <w:rFonts w:ascii="Yu Gothic" w:hAnsi="Yu Gothic" w:eastAsia="Yu Gothic"/>
          <w:b w:val="0"/>
          <w:i w:val="0"/>
          <w:color w:val="1A1A1A"/>
          <w:sz w:val="18"/>
        </w:rPr>
        <w:t>・民法第587条以下（消費貸借）</w:t>
      </w:r>
    </w:p>
    <w:p>
      <w:pPr>
        <w:spacing w:before="0" w:after="20"/>
      </w:pPr>
      <w:r>
        <w:rPr>
          <w:rFonts w:ascii="Yu Gothic" w:hAnsi="Yu Gothic" w:eastAsia="Yu Gothic"/>
          <w:b w:val="0"/>
          <w:i w:val="0"/>
          <w:color w:val="1A1A1A"/>
          <w:sz w:val="18"/>
        </w:rPr>
        <w:t>・利息制限法（昭和29年法律第100号）</w:t>
      </w:r>
    </w:p>
    <w:p>
      <w:pPr>
        <w:spacing w:before="0" w:after="20"/>
      </w:pPr>
      <w:r>
        <w:rPr>
          <w:rFonts w:ascii="Yu Gothic" w:hAnsi="Yu Gothic" w:eastAsia="Yu Gothic"/>
          <w:b w:val="0"/>
          <w:i w:val="0"/>
          <w:color w:val="1A1A1A"/>
          <w:sz w:val="18"/>
        </w:rPr>
        <w:t>・出資法（年109.5%超は刑事罰）</w:t>
      </w:r>
    </w:p>
    <w:p>
      <w:pPr>
        <w:spacing w:before="0" w:after="20"/>
      </w:pPr>
      <w:r>
        <w:rPr>
          <w:rFonts w:ascii="Yu Gothic" w:hAnsi="Yu Gothic" w:eastAsia="Yu Gothic"/>
          <w:b w:val="0"/>
          <w:i w:val="0"/>
          <w:color w:val="1A1A1A"/>
          <w:sz w:val="18"/>
        </w:rPr>
        <w:t>・貸金業法（貸金業を営もうとする者は登録が必要＝同法3条1項）</w:t>
      </w:r>
    </w:p>
    <w:p>
      <w:pPr>
        <w:spacing w:before="0" w:after="20"/>
      </w:pPr>
      <w:r>
        <w:rPr>
          <w:rFonts w:ascii="Yu Gothic" w:hAnsi="Yu Gothic" w:eastAsia="Yu Gothic"/>
          <w:b w:val="0"/>
          <w:i w:val="0"/>
          <w:color w:val="1A1A1A"/>
          <w:sz w:val="18"/>
        </w:rPr>
        <w:t>・民法第465条の2〜第465条の5（個人根保証契約）／第465条の6〜第465条の10（事業に係る債務についての保証契約の特則）</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