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4" w:color="1B3A5C"/>
        </w:pBdr>
      </w:pPr>
      <w:r>
        <w:rPr>
          <w:rFonts w:ascii="Yu Mincho" w:hAnsi="Yu Mincho" w:eastAsia="Yu Mincho"/>
          <w:b/>
          <w:i w:val="0"/>
          <w:color w:val="1B3A5C"/>
          <w:sz w:val="36"/>
          <w:spacing w:val="36"/>
        </w:rPr>
        <w:t>賞 与 明 細 書</w:t>
      </w:r>
    </w:p>
    <w:p>
      <w:pPr>
        <w:spacing w:before="60" w:after="40"/>
        <w:pBdr>
          <w:top w:val="double" w:sz="8" w:space="1" w:color="1B3A5C"/>
        </w:pBdr>
      </w:pPr>
      <w:r>
        <w:rPr>
          <w:rFonts w:ascii="Yu Gothic" w:hAnsi="Yu Gothic" w:eastAsia="Yu Gothic"/>
          <w:b/>
          <w:i w:val="0"/>
          <w:color w:val="1B3A5C"/>
          <w:sz w:val="22"/>
        </w:rPr>
        <w:t>基本情報</w:t>
      </w:r>
    </w:p>
    <w:tbl>
      <w:tblPr>
        <w:tblW w:type="dxa" w:w="9865"/>
        <w:tblInd w:w="102" w:type="dxa"/>
        <w:tblBorders>
          <w:top w:val="nil"/>
          <w:left w:val="nil"/>
          <w:bottom w:val="nil"/>
          <w:right w:val="nil"/>
          <w:insideH w:val="nil"/>
          <w:insideV w:val="nil"/>
        </w:tblBorders>
        <w:tblLayout w:type="fixed"/>
      </w:tblPr>
      <w:tblGrid>
        <w:gridCol w:w="2381"/>
        <w:gridCol w:w="7483"/>
      </w:tblGrid>
      <w:tr>
        <w:trPr>
          <w:cantSplit/>
          <w:trHeight w:val="476" w:hRule="atLeast"/>
        </w:trPr>
        <w:tc>
          <w:tcPr>
            <w:tcW w:type="dxa" w:w="238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支給日</w:t>
            </w:r>
          </w:p>
        </w:tc>
        <w:tc>
          <w:tcPr>
            <w:tcW w:type="dxa" w:w="748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年　　月　　日（　　）</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賞与の名称</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氏名・社員番号</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所属部署</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算定対象期間</w:t>
            </w:r>
          </w:p>
        </w:tc>
        <w:tc>
          <w:tcPr>
            <w:tcW w:type="dxa" w:w="748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年　月　日〜　　年　月　日</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支給</w:t>
      </w:r>
    </w:p>
    <w:tbl>
      <w:tblPr>
        <w:tblW w:type="dxa" w:w="9865"/>
        <w:tblInd w:w="102" w:type="dxa"/>
        <w:tblBorders>
          <w:top w:val="nil"/>
          <w:left w:val="nil"/>
          <w:bottom w:val="nil"/>
          <w:right w:val="nil"/>
          <w:insideH w:val="nil"/>
          <w:insideV w:val="nil"/>
        </w:tblBorders>
        <w:tblLayout w:type="fixed"/>
      </w:tblPr>
      <w:tblGrid>
        <w:gridCol w:w="2381"/>
        <w:gridCol w:w="7483"/>
      </w:tblGrid>
      <w:tr>
        <w:trPr>
          <w:cantSplit/>
          <w:trHeight w:val="476" w:hRule="atLeast"/>
        </w:trPr>
        <w:tc>
          <w:tcPr>
            <w:tcW w:type="dxa" w:w="238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基本賞与</w:t>
            </w:r>
          </w:p>
        </w:tc>
        <w:tc>
          <w:tcPr>
            <w:tcW w:type="dxa" w:w="748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査定賞与</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その他の賞与</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賞与支給額合計</w:t>
            </w:r>
          </w:p>
        </w:tc>
        <w:tc>
          <w:tcPr>
            <w:tcW w:type="dxa" w:w="748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控除</w:t>
      </w:r>
    </w:p>
    <w:tbl>
      <w:tblPr>
        <w:tblW w:type="dxa" w:w="9865"/>
        <w:tblInd w:w="102" w:type="dxa"/>
        <w:tblBorders>
          <w:top w:val="nil"/>
          <w:left w:val="nil"/>
          <w:bottom w:val="nil"/>
          <w:right w:val="nil"/>
          <w:insideH w:val="nil"/>
          <w:insideV w:val="nil"/>
        </w:tblBorders>
        <w:tblLayout w:type="fixed"/>
      </w:tblPr>
      <w:tblGrid>
        <w:gridCol w:w="2381"/>
        <w:gridCol w:w="7483"/>
      </w:tblGrid>
      <w:tr>
        <w:trPr>
          <w:cantSplit/>
          <w:trHeight w:val="476" w:hRule="atLeast"/>
        </w:trPr>
        <w:tc>
          <w:tcPr>
            <w:tcW w:type="dxa" w:w="238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健康保険料</w:t>
            </w:r>
          </w:p>
        </w:tc>
        <w:tc>
          <w:tcPr>
            <w:tcW w:type="dxa" w:w="748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子ども・子育て支援金</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介護保険料（40〜64歳のみ）</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厚生年金保険料</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雇用保険料</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所得税</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控除合計</w:t>
            </w:r>
          </w:p>
        </w:tc>
        <w:tc>
          <w:tcPr>
            <w:tcW w:type="dxa" w:w="748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bl>
    <w:p>
      <w:pPr>
        <w:spacing w:before="0" w:after="0" w:line="79" w:lineRule="exact"/>
      </w:pPr>
    </w:p>
    <w:tbl>
      <w:tblPr>
        <w:tblW w:type="dxa" w:w="9865"/>
        <w:tblInd w:w="102" w:type="dxa"/>
        <w:tblBorders>
          <w:top w:val="nil"/>
          <w:left w:val="nil"/>
          <w:bottom w:val="nil"/>
          <w:right w:val="nil"/>
          <w:insideH w:val="nil"/>
          <w:insideV w:val="nil"/>
        </w:tblBorders>
        <w:tblLayout w:type="fixed"/>
      </w:tblPr>
      <w:tblGrid>
        <w:gridCol w:w="2381"/>
        <w:gridCol w:w="7483"/>
      </w:tblGrid>
      <w:tr>
        <w:trPr>
          <w:cantSplit/>
          <w:trHeight w:val="476" w:hRule="atLeast"/>
        </w:trPr>
        <w:tc>
          <w:tcPr>
            <w:tcW w:type="dxa" w:w="2381"/>
            <w:tcMar>
              <w:top w:w="57" w:type="dxa"/>
              <w:bottom w:w="57" w:type="dxa"/>
              <w:left w:w="102" w:type="dxa"/>
              <w:right w:w="102" w:type="dxa"/>
            </w:tcMar>
            <w:shd w:val="clear" w:color="auto" w:fill="F2F2EF"/>
            <w:vAlign w:val="center"/>
            <w:tcBorders>
              <w:top w:val="single" w:sz="10" w:space="0" w:color="1B3A5C"/>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差引支給額（手取り）</w:t>
            </w:r>
          </w:p>
        </w:tc>
        <w:tc>
          <w:tcPr>
            <w:tcW w:type="dxa" w:w="7483"/>
            <w:tcMar>
              <w:top w:w="57" w:type="dxa"/>
              <w:bottom w:w="57" w:type="dxa"/>
              <w:left w:w="102" w:type="dxa"/>
              <w:right w:w="102" w:type="dxa"/>
            </w:tcMar>
            <w:tcBorders>
              <w:top w:val="single" w:sz="10" w:space="0" w:color="1B3A5C"/>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24"/>
              </w:rPr>
              <w:t xml:space="preserve">　　　　　円</w:t>
            </w:r>
          </w:p>
        </w:tc>
      </w:tr>
    </w:tbl>
    <w:p>
      <w:pPr>
        <w:spacing w:before="0" w:after="0" w:line="79" w:lineRule="exact"/>
      </w:pPr>
    </w:p>
    <w:p>
      <w:pPr>
        <w:spacing w:before="0" w:after="0" w:line="28" w:lineRule="exact"/>
      </w:pPr>
      <w:r>
        <w:br w:type="page"/>
      </w:r>
    </w:p>
    <w:p>
      <w:pPr>
        <w:spacing w:before="60" w:after="40"/>
        <w:pBdr>
          <w:top w:val="double" w:sz="8" w:space="1" w:color="1B3A5C"/>
        </w:pBdr>
      </w:pPr>
      <w:r>
        <w:rPr>
          <w:rFonts w:ascii="Yu Gothic" w:hAnsi="Yu Gothic" w:eastAsia="Yu Gothic"/>
          <w:b/>
          <w:i w:val="0"/>
          <w:color w:val="1B3A5C"/>
          <w:sz w:val="22"/>
        </w:rPr>
        <w:t>計算に使う前提（先に記入）</w:t>
      </w:r>
    </w:p>
    <w:tbl>
      <w:tblPr>
        <w:tblW w:type="dxa" w:w="9865"/>
        <w:tblInd w:w="102" w:type="dxa"/>
        <w:tblBorders>
          <w:top w:val="nil"/>
          <w:left w:val="nil"/>
          <w:bottom w:val="nil"/>
          <w:right w:val="nil"/>
          <w:insideH w:val="nil"/>
          <w:insideV w:val="nil"/>
        </w:tblBorders>
        <w:tblLayout w:type="fixed"/>
      </w:tblPr>
      <w:tblGrid>
        <w:gridCol w:w="3628"/>
        <w:gridCol w:w="6236"/>
      </w:tblGrid>
      <w:tr>
        <w:trPr>
          <w:cantSplit/>
          <w:trHeight w:val="476" w:hRule="atLeast"/>
        </w:trPr>
        <w:tc>
          <w:tcPr>
            <w:tcW w:type="dxa" w:w="3628"/>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前月の給与の総支給額（賞与を除く）</w:t>
            </w:r>
          </w:p>
        </w:tc>
        <w:tc>
          <w:tcPr>
            <w:tcW w:type="dxa" w:w="6236"/>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3628"/>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うち非課税の通勤手当</w:t>
            </w:r>
          </w:p>
        </w:tc>
        <w:tc>
          <w:tcPr>
            <w:tcW w:type="dxa" w:w="6236"/>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3628"/>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前月の社会保険料等の合計</w:t>
            </w:r>
          </w:p>
        </w:tc>
        <w:tc>
          <w:tcPr>
            <w:tcW w:type="dxa" w:w="6236"/>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3628"/>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前月の社会保険料等控除後の給与等</w:t>
            </w:r>
          </w:p>
        </w:tc>
        <w:tc>
          <w:tcPr>
            <w:tcW w:type="dxa" w:w="6236"/>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r>
        <w:trPr>
          <w:cantSplit/>
          <w:trHeight w:val="476" w:hRule="atLeast"/>
        </w:trPr>
        <w:tc>
          <w:tcPr>
            <w:tcW w:type="dxa" w:w="3628"/>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扶養親族等の数（甲欄）</w:t>
            </w:r>
          </w:p>
        </w:tc>
        <w:tc>
          <w:tcPr>
            <w:tcW w:type="dxa" w:w="6236"/>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人</w:t>
            </w:r>
          </w:p>
        </w:tc>
      </w:tr>
      <w:tr>
        <w:trPr>
          <w:cantSplit/>
          <w:trHeight w:val="476" w:hRule="atLeast"/>
        </w:trPr>
        <w:tc>
          <w:tcPr>
            <w:tcW w:type="dxa" w:w="3628"/>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介護保険の対象（40〜64歳）</w:t>
            </w:r>
          </w:p>
        </w:tc>
        <w:tc>
          <w:tcPr>
            <w:tcW w:type="dxa" w:w="6236"/>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はい ・ いいえ</w:t>
            </w:r>
          </w:p>
        </w:tc>
      </w:tr>
      <w:tr>
        <w:trPr>
          <w:cantSplit/>
          <w:trHeight w:val="476" w:hRule="atLeast"/>
        </w:trPr>
        <w:tc>
          <w:tcPr>
            <w:tcW w:type="dxa" w:w="3628"/>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今年度の標準賞与額の累計（今回より前）</w:t>
            </w:r>
          </w:p>
        </w:tc>
        <w:tc>
          <w:tcPr>
            <w:tcW w:type="dxa" w:w="6236"/>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xml:space="preserve">　　　　　円</w:t>
            </w:r>
          </w:p>
        </w:tc>
      </w:tr>
    </w:tbl>
    <w:p>
      <w:pPr>
        <w:spacing w:before="0" w:after="0" w:line="79" w:lineRule="exact"/>
      </w:pPr>
    </w:p>
    <w:p>
      <w:pPr>
        <w:spacing w:before="60" w:after="40"/>
        <w:pBdr>
          <w:top w:val="double" w:sz="8" w:space="1" w:color="1B3A5C"/>
        </w:pBdr>
      </w:pPr>
      <w:r>
        <w:rPr>
          <w:rFonts w:ascii="Yu Gothic" w:hAnsi="Yu Gothic" w:eastAsia="Yu Gothic"/>
          <w:b/>
          <w:i w:val="0"/>
          <w:color w:val="1B3A5C"/>
          <w:sz w:val="22"/>
        </w:rPr>
        <w:t>計算の手順（書式の使い方）</w:t>
      </w:r>
    </w:p>
    <w:p>
      <w:pPr>
        <w:spacing w:before="0" w:after="20" w:line="240" w:lineRule="exact"/>
      </w:pPr>
      <w:r>
        <w:rPr>
          <w:rFonts w:ascii="Yu Gothic" w:hAnsi="Yu Gothic" w:eastAsia="Yu Gothic"/>
          <w:b w:val="0"/>
          <w:i w:val="0"/>
          <w:color w:val="1A1A1A"/>
          <w:sz w:val="17"/>
        </w:rPr>
        <w:t>① 標準賞与額＝賞与額の千円未満切捨て。健康保険・介護保険・子ども・子育て支援金は標準賞与額×料率÷2（本人負担）、厚生年金も同様（1回150万円まで）。</w:t>
      </w:r>
    </w:p>
    <w:p>
      <w:pPr>
        <w:spacing w:before="0" w:after="20" w:line="240" w:lineRule="exact"/>
      </w:pPr>
      <w:r>
        <w:rPr>
          <w:rFonts w:ascii="Yu Gothic" w:hAnsi="Yu Gothic" w:eastAsia="Yu Gothic"/>
          <w:b w:val="0"/>
          <w:i w:val="0"/>
          <w:color w:val="1A1A1A"/>
          <w:sz w:val="17"/>
        </w:rPr>
        <w:t>② 標準賞与額は、健康保険・介護保険・支援金が年度（4/1〜3/31）累計573万円まで。端数は50銭以下切捨て・50銭超切上げ（特約があれば特約）。</w:t>
      </w:r>
    </w:p>
    <w:p>
      <w:pPr>
        <w:spacing w:before="0" w:after="20" w:line="240" w:lineRule="exact"/>
      </w:pPr>
      <w:r>
        <w:rPr>
          <w:rFonts w:ascii="Yu Gothic" w:hAnsi="Yu Gothic" w:eastAsia="Yu Gothic"/>
          <w:b w:val="0"/>
          <w:i w:val="0"/>
          <w:color w:val="1A1A1A"/>
          <w:sz w:val="17"/>
        </w:rPr>
        <w:t>③ 雇用保険＝賞与額×労働者負担率（一般の事業0.5%）。</w:t>
      </w:r>
    </w:p>
    <w:p>
      <w:pPr>
        <w:spacing w:before="0" w:after="20" w:line="240" w:lineRule="exact"/>
      </w:pPr>
      <w:r>
        <w:rPr>
          <w:rFonts w:ascii="Yu Gothic" w:hAnsi="Yu Gothic" w:eastAsia="Yu Gothic"/>
          <w:b w:val="0"/>
          <w:i w:val="0"/>
          <w:color w:val="1A1A1A"/>
          <w:sz w:val="17"/>
        </w:rPr>
        <w:t>④ 所得税＝（賞与−②③の社会保険料等）×国税庁「賞与に対する源泉徴収税額の算出率の表」の率（1円未満切捨て）。率は、前月の社会保険料等控除後の給与等の金額と扶養親族等の数で決まる。</w:t>
      </w:r>
    </w:p>
    <w:p>
      <w:pPr>
        <w:spacing w:before="0" w:after="20" w:line="240" w:lineRule="exact"/>
      </w:pPr>
      <w:r>
        <w:rPr>
          <w:rFonts w:ascii="Yu Gothic" w:hAnsi="Yu Gothic" w:eastAsia="Yu Gothic"/>
          <w:b w:val="0"/>
          <w:i w:val="0"/>
          <w:color w:val="1A1A1A"/>
          <w:sz w:val="17"/>
        </w:rPr>
        <w:t>⑤ 前月に給与がない場合・賞与が前月の給与等の10倍を超える場合は、算出率の表でなく月額表で計算する。</w:t>
      </w:r>
    </w:p>
    <w:p>
      <w:pPr>
        <w:spacing w:before="0" w:after="20" w:line="240" w:lineRule="exact"/>
      </w:pPr>
      <w:r>
        <w:rPr>
          <w:rFonts w:ascii="Yu Gothic" w:hAnsi="Yu Gothic" w:eastAsia="Yu Gothic"/>
          <w:b w:val="0"/>
          <w:i w:val="0"/>
          <w:color w:val="1A1A1A"/>
          <w:sz w:val="17"/>
        </w:rPr>
        <w:t>⑥ Excel版（kyuyo_meisai_shoyo.xlsx）に入れれば、①〜④は自動で計算される。</w:t>
      </w:r>
    </w:p>
    <w:p>
      <w:pPr>
        <w:spacing w:before="0" w:after="20" w:line="210" w:lineRule="exact"/>
      </w:pPr>
      <w:r>
        <w:rPr>
          <w:rFonts w:ascii="Yu Gothic" w:hAnsi="Yu Gothic" w:eastAsia="Yu Gothic"/>
          <w:b w:val="0"/>
          <w:i w:val="0"/>
          <w:color w:val="66707A"/>
          <w:sz w:val="15"/>
        </w:rPr>
        <w:t>※ 出典（2026-10-05確認）: 協会けんぽ 令和8年度保険料額表（東京支部）／日本年金機構／厚生労働省 令和8年度雇用保険料率／国税庁 令和8年分 源泉徴収税額表。一般情報の提供であり、法的・税務的アドバイスではありません。提供: template-free.jp（無料・会員登録不要）</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Yu Gothic"/>
        <a:ea typeface="Yu Gothic"/>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Gothic"/>
        <a:ea typeface="Yu Gothic"/>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