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工事請負契約書</w:t>
      </w:r>
    </w:p>
    <w:p>
      <w:pPr>
        <w:spacing w:before="0" w:after="20"/>
        <w:jc w:val="center"/>
      </w:pPr>
      <w:r>
        <w:rPr>
          <w:rFonts w:ascii="Yu Gothic" w:hAnsi="Yu Gothic" w:eastAsia="Yu Gothic"/>
          <w:b w:val="0"/>
          <w:i w:val="0"/>
          <w:color w:val="66707A"/>
          <w:sz w:val="18"/>
        </w:rPr>
        <w:t>（中央建設業審議会 民間建設工事標準請負契約約款）</w:t>
      </w:r>
    </w:p>
    <w:p>
      <w:pPr>
        <w:spacing w:before="0" w:after="120"/>
        <w:jc w:val="center"/>
      </w:pPr>
      <w:r>
        <w:rPr>
          <w:rFonts w:ascii="Yu Gothic" w:hAnsi="Yu Gothic" w:eastAsia="Yu Gothic"/>
          <w:b w:val="0"/>
          <w:i w:val="0"/>
          <w:color w:val="66707A"/>
          <w:sz w:val="18"/>
        </w:rPr>
        <w:t>民間工事用（国・地方公共団体発注の公共工事は、公共工事標準請負契約約款を使ってください）</w:t>
      </w:r>
    </w:p>
    <w:p>
      <w:pPr>
        <w:spacing w:before="0" w:after="60"/>
      </w:pPr>
      <w:r>
        <w:rPr>
          <w:rFonts w:ascii="Yu Gothic" w:hAnsi="Yu Gothic" w:eastAsia="Yu Gothic"/>
          <w:b w:val="0"/>
          <w:i w:val="0"/>
          <w:color w:val="1A1A1A"/>
          <w:sz w:val="19"/>
        </w:rPr>
        <w:t>本契約は、建設業法第19条に基づき下記16項目を明記する。</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85" w:type="dxa"/>
              <w:bottom w:w="68" w:type="dxa"/>
              <w:left w:w="198" w:type="dxa"/>
              <w:right w:w="198" w:type="dxa"/>
            </w:tcMar>
            <w:shd w:val="clear" w:color="auto" w:fill="F2F2EF"/>
            <w:tcBorders>
              <w:top w:val="single" w:sz="4" w:space="0" w:color="B9C4CF"/>
              <w:bottom w:val="single" w:sz="4" w:space="0" w:color="B9C4CF"/>
              <w:left w:val="single" w:sz="4" w:space="0" w:color="B9C4CF"/>
              <w:right w:val="single" w:sz="4" w:space="0" w:color="B9C4CF"/>
            </w:tcBorders>
          </w:tcPr>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工事内容</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請負代金の額</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工事着手の時期及び工事完成の時期</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工事を施工しない日又は時間帯の定めをするときは、その内容</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請負代金の全部又は一部の前金払又は出来形部分に対する支払の定めをするときは、その支払の時期及び方法</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当事者の一方から設計変更又は工事着手の延期若しくは工事の全部若しくは一部の中止の申出があつた場合における工期の変更、請負代金の額の変更又は損害の負担及びそれらの額の算定方法に関する定め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天災その他不可抗力による工期の変更又は損害の負担及びその額の算定方法に関する定め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価格等（物価統制令（昭和二十一年勅令第百十八号）第二条に規定する価格等をいう。）の変動又は変更に基づく工事内容の変更又は請負代金の額の変更及びその額の算定方法に関する定め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工事の施工により第三者が損害を受けた場合における賠償金の負担に関する定め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注文者が工事に使用する資材を提供し、又は建設機械その他の機械を貸与するときは、その内容及び方法に関する定め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注文者が工事の全部又は一部の完成を確認するための検査の時期及び方法並びに引渡しの時期</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工事完成後における請負代金の支払の時期及び方法</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の目的物が種類又は品質に関して契約の内容に適合しない場合におけるその不適合を担保すべき責任又は当該責任の履行に関して講ずべき保証保険契約の締結その他の措置に関する定めをするときは、その内容</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各当事者の履行の遅滞その他債務の不履行の場合における遅延利息、違約金その他の損害金</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契約に関する紛争の解決方法</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その他国土交通省令で定める事項</w:t>
            </w:r>
          </w:p>
        </w:tc>
      </w:tr>
    </w:tbl>
    <w:p>
      <w:pPr>
        <w:spacing w:before="0" w:after="0" w:line="68" w:lineRule="exact"/>
      </w:pPr>
    </w:p>
    <w:p>
      <w:pPr>
        <w:spacing w:before="40" w:after="0" w:line="230" w:lineRule="exact"/>
      </w:pPr>
      <w:r>
        <w:rPr>
          <w:rFonts w:ascii="Yu Gothic" w:hAnsi="Yu Gothic" w:eastAsia="Yu Gothic"/>
          <w:b w:val="0"/>
          <w:i w:val="0"/>
          <w:color w:val="66707A"/>
          <w:sz w:val="15"/>
        </w:rPr>
        <w:t>※ 「下請負に関する事項（一括下請の禁止・主要部分の自社施工の確認等）」は、建設業法19条1項の法定16項目そのものではありませんが、実務上、契約書に別途明記されることが多い事項です（法定事項と混同しないようご注意ください）。</w:t>
      </w: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工事概要</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工事名称</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工事場所</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工事内容</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工期</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 xml:space="preserve">  年  月  日 から   年  月  日 まで</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請負代金（税込）</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　　　　　　　円（うち消費税及び地方消費税　　　　　　円）</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前払金</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　　　　　　　円　／　契約後  日以内</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部分払</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出来高    %毎・月    回・該当なし</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引渡時支払</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　　　　　　　円　／　完成検査合格後  日以内</w:t>
            </w:r>
          </w:p>
        </w:tc>
      </w:tr>
    </w:tbl>
    <w:p>
      <w:pPr>
        <w:spacing w:before="0" w:after="0" w:line="102" w:lineRule="exact"/>
      </w:pPr>
    </w:p>
    <w:p>
      <w:pPr>
        <w:spacing w:before="60" w:after="40"/>
        <w:pBdr>
          <w:top w:val="double" w:sz="8" w:space="1" w:color="1B3A5C"/>
        </w:pBdr>
      </w:pPr>
      <w:r>
        <w:rPr>
          <w:rFonts w:ascii="Yu Gothic" w:hAnsi="Yu Gothic" w:eastAsia="Yu Gothic"/>
          <w:b/>
          <w:i w:val="0"/>
          <w:color w:val="1B3A5C"/>
          <w:sz w:val="22"/>
        </w:rPr>
        <w:t>約款本文（30条）</w:t>
      </w:r>
    </w:p>
    <w:p>
      <w:pPr>
        <w:spacing w:before="60" w:after="40"/>
        <w:pBdr>
          <w:top w:val="double" w:sz="8" w:space="1" w:color="1B3A5C"/>
        </w:pBdr>
      </w:pPr>
      <w:r>
        <w:rPr>
          <w:rFonts w:ascii="Yu Gothic" w:hAnsi="Yu Gothic" w:eastAsia="Yu Gothic"/>
          <w:b/>
          <w:i w:val="0"/>
          <w:color w:val="1B3A5C"/>
          <w:sz w:val="22"/>
        </w:rPr>
        <w:t>第1条（総則）</w:t>
      </w:r>
    </w:p>
    <w:p>
      <w:pPr>
        <w:spacing w:before="0" w:after="100" w:line="256" w:lineRule="exact"/>
      </w:pPr>
      <w:r>
        <w:rPr>
          <w:rFonts w:ascii="Yu Gothic" w:hAnsi="Yu Gothic" w:eastAsia="Yu Gothic"/>
          <w:b w:val="0"/>
          <w:i w:val="0"/>
          <w:color w:val="1A1A1A"/>
          <w:sz w:val="18"/>
        </w:rPr>
        <w:t>1. 発注者（甲）と受注者（乙）は、各々の対等な立場における合意に基づいて、別冊の設計図書（設計図、仕様書、現場説明書及びこれらの図書に対する質問回答書）に従い、信義に従って誠実にこの契約を履行する。</w:t>
        <w:br/>
        <w:t>2. 乙は、契約書記載の工事を契約書記載の工期内に完成し、契約の目的物を甲に引き渡し、甲はその請負代金を支払う。</w:t>
      </w:r>
    </w:p>
    <w:p>
      <w:pPr>
        <w:spacing w:before="60" w:after="40"/>
        <w:pBdr>
          <w:top w:val="double" w:sz="8" w:space="1" w:color="1B3A5C"/>
        </w:pBdr>
      </w:pPr>
      <w:r>
        <w:rPr>
          <w:rFonts w:ascii="Yu Gothic" w:hAnsi="Yu Gothic" w:eastAsia="Yu Gothic"/>
          <w:b/>
          <w:i w:val="0"/>
          <w:color w:val="1B3A5C"/>
          <w:sz w:val="22"/>
        </w:rPr>
        <w:t>第2条（関連工事の調整）</w:t>
      </w:r>
    </w:p>
    <w:p>
      <w:pPr>
        <w:spacing w:before="0" w:after="100" w:line="256" w:lineRule="exact"/>
      </w:pPr>
      <w:r>
        <w:rPr>
          <w:rFonts w:ascii="Yu Gothic" w:hAnsi="Yu Gothic" w:eastAsia="Yu Gothic"/>
          <w:b w:val="0"/>
          <w:i w:val="0"/>
          <w:color w:val="1A1A1A"/>
          <w:sz w:val="18"/>
        </w:rPr>
        <w:t>甲は、乙の施工する工事及び甲の発注に係る第三者の施工する他の工事が施工上密接に関連する場合において、必要があるときは、その施工につき調整を行うものとする。</w:t>
      </w:r>
    </w:p>
    <w:p>
      <w:pPr>
        <w:spacing w:before="60" w:after="40"/>
        <w:pBdr>
          <w:top w:val="double" w:sz="8" w:space="1" w:color="1B3A5C"/>
        </w:pBdr>
      </w:pPr>
      <w:r>
        <w:rPr>
          <w:rFonts w:ascii="Yu Gothic" w:hAnsi="Yu Gothic" w:eastAsia="Yu Gothic"/>
          <w:b/>
          <w:i w:val="0"/>
          <w:color w:val="1B3A5C"/>
          <w:sz w:val="22"/>
        </w:rPr>
        <w:t>第3条（請負代金内訳書及び工程表）</w:t>
      </w:r>
    </w:p>
    <w:p>
      <w:pPr>
        <w:spacing w:before="0" w:after="100" w:line="256" w:lineRule="exact"/>
      </w:pPr>
      <w:r>
        <w:rPr>
          <w:rFonts w:ascii="Yu Gothic" w:hAnsi="Yu Gothic" w:eastAsia="Yu Gothic"/>
          <w:b w:val="0"/>
          <w:i w:val="0"/>
          <w:color w:val="1A1A1A"/>
          <w:sz w:val="18"/>
        </w:rPr>
        <w:t>1. 乙は、契約締結後速やかに、設計図書に基づいて請負代金内訳書（以下「内訳書」という。）及び工程表を作成し、甲に提出する。</w:t>
        <w:br/>
        <w:t>2. 内訳書には、健康保険、厚生年金保険及び雇用保険に係る法定福利費を明示するものとする。</w:t>
      </w:r>
    </w:p>
    <w:p>
      <w:pPr>
        <w:spacing w:before="60" w:after="40"/>
        <w:pBdr>
          <w:top w:val="double" w:sz="8" w:space="1" w:color="1B3A5C"/>
        </w:pBdr>
      </w:pPr>
      <w:r>
        <w:rPr>
          <w:rFonts w:ascii="Yu Gothic" w:hAnsi="Yu Gothic" w:eastAsia="Yu Gothic"/>
          <w:b/>
          <w:i w:val="0"/>
          <w:color w:val="1B3A5C"/>
          <w:sz w:val="22"/>
        </w:rPr>
        <w:t>第4条（一括下請負・一括委任の禁止）</w:t>
      </w:r>
    </w:p>
    <w:p>
      <w:pPr>
        <w:spacing w:before="0" w:after="100" w:line="256" w:lineRule="exact"/>
      </w:pPr>
      <w:r>
        <w:rPr>
          <w:rFonts w:ascii="Yu Gothic" w:hAnsi="Yu Gothic" w:eastAsia="Yu Gothic"/>
          <w:b w:val="0"/>
          <w:i w:val="0"/>
          <w:color w:val="1A1A1A"/>
          <w:sz w:val="18"/>
        </w:rPr>
        <w:t>乙は、工事の全部若しくは大部分又は主たる部分を一括して第三者に委任し、又は請け負わせてはならない。ただし、あらかじめ甲の書面による承諾を得たときはこの限りでない。</w:t>
      </w:r>
    </w:p>
    <w:p>
      <w:pPr>
        <w:spacing w:before="60" w:after="40"/>
        <w:pBdr>
          <w:top w:val="double" w:sz="8" w:space="1" w:color="1B3A5C"/>
        </w:pBdr>
      </w:pPr>
      <w:r>
        <w:rPr>
          <w:rFonts w:ascii="Yu Gothic" w:hAnsi="Yu Gothic" w:eastAsia="Yu Gothic"/>
          <w:b/>
          <w:i w:val="0"/>
          <w:color w:val="1B3A5C"/>
          <w:sz w:val="22"/>
        </w:rPr>
        <w:t>第5条（特許権等の使用）</w:t>
      </w:r>
    </w:p>
    <w:p>
      <w:pPr>
        <w:spacing w:before="0" w:after="100" w:line="256" w:lineRule="exact"/>
      </w:pPr>
      <w:r>
        <w:rPr>
          <w:rFonts w:ascii="Yu Gothic" w:hAnsi="Yu Gothic" w:eastAsia="Yu Gothic"/>
          <w:b w:val="0"/>
          <w:i w:val="0"/>
          <w:color w:val="1A1A1A"/>
          <w:sz w:val="18"/>
        </w:rPr>
        <w:t>乙は、特許権、実用新案権、意匠権、商標権その他日本国の法令に基づき保護される第三者の権利の対象となっている工事材料、施工方法等を使用するときは、その使用に関する一切の責任を負わなければならない。</w:t>
      </w:r>
    </w:p>
    <w:p>
      <w:pPr>
        <w:spacing w:before="60" w:after="40"/>
        <w:pBdr>
          <w:top w:val="double" w:sz="8" w:space="1" w:color="1B3A5C"/>
        </w:pBdr>
      </w:pPr>
      <w:r>
        <w:rPr>
          <w:rFonts w:ascii="Yu Gothic" w:hAnsi="Yu Gothic" w:eastAsia="Yu Gothic"/>
          <w:b/>
          <w:i w:val="0"/>
          <w:color w:val="1B3A5C"/>
          <w:sz w:val="22"/>
        </w:rPr>
        <w:t>第6条（監督員）</w:t>
      </w:r>
    </w:p>
    <w:p>
      <w:pPr>
        <w:spacing w:before="0" w:after="100" w:line="256" w:lineRule="exact"/>
      </w:pPr>
      <w:r>
        <w:rPr>
          <w:rFonts w:ascii="Yu Gothic" w:hAnsi="Yu Gothic" w:eastAsia="Yu Gothic"/>
          <w:b w:val="0"/>
          <w:i w:val="0"/>
          <w:color w:val="1A1A1A"/>
          <w:sz w:val="18"/>
        </w:rPr>
        <w:t>1. 甲は、監督員を定めたときは、書面によりその氏名を乙に通知する。</w:t>
        <w:br/>
        <w:t>2. 監督員は、この契約の履行に関し、甲の権限とされる事項のうち甲が必要と認めて監督員に委任したものを除き、設計図書に定めるところにより、次に掲げる権限を有する。</w:t>
        <w:br/>
        <w:t xml:space="preserve">  (1) 契約の履行についての甲又は乙に対する指示、承諾又は協議</w:t>
        <w:br/>
        <w:t xml:space="preserve">  (2) 設計図書に基づく工事の施工のための詳細図等の作成及び交付又は乙が作成した詳細図等の承諾</w:t>
        <w:br/>
        <w:t xml:space="preserve">  (3) 設計図書に基づく工程の管理、立会い、工事の施工状況の検査又は工事材料の試験若しくは検査</w:t>
      </w:r>
    </w:p>
    <w:p>
      <w:pPr>
        <w:spacing w:before="60" w:after="40"/>
        <w:pBdr>
          <w:top w:val="double" w:sz="8" w:space="1" w:color="1B3A5C"/>
        </w:pBdr>
      </w:pPr>
      <w:r>
        <w:rPr>
          <w:rFonts w:ascii="Yu Gothic" w:hAnsi="Yu Gothic" w:eastAsia="Yu Gothic"/>
          <w:b/>
          <w:i w:val="0"/>
          <w:color w:val="1B3A5C"/>
          <w:sz w:val="22"/>
        </w:rPr>
        <w:t>第7条（現場代理人及び主任技術者等）</w:t>
      </w:r>
    </w:p>
    <w:p>
      <w:pPr>
        <w:spacing w:before="0" w:after="100" w:line="256" w:lineRule="exact"/>
      </w:pPr>
      <w:r>
        <w:rPr>
          <w:rFonts w:ascii="Yu Gothic" w:hAnsi="Yu Gothic" w:eastAsia="Yu Gothic"/>
          <w:b w:val="0"/>
          <w:i w:val="0"/>
          <w:color w:val="1A1A1A"/>
          <w:sz w:val="18"/>
        </w:rPr>
        <w:t>1. 乙は、現場代理人、主任技術者（建設業法第26条に規定する主任技術者をいう。）又は監理技術者（同条に規定する監理技術者をいう。）及び専門技術者（同法第26条の2に規定する技術者をいう。）を定め、書面によりその氏名を甲に通知する。</w:t>
        <w:br/>
        <w:t>2. 現場代理人は、この契約の履行に関し、工事現場に常駐し、その運営、取締り及び権限の行使を行う。</w:t>
      </w:r>
    </w:p>
    <w:p>
      <w:pPr>
        <w:spacing w:before="60" w:after="40"/>
        <w:pBdr>
          <w:top w:val="double" w:sz="8" w:space="1" w:color="1B3A5C"/>
        </w:pBdr>
      </w:pPr>
      <w:r>
        <w:rPr>
          <w:rFonts w:ascii="Yu Gothic" w:hAnsi="Yu Gothic" w:eastAsia="Yu Gothic"/>
          <w:b/>
          <w:i w:val="0"/>
          <w:color w:val="1B3A5C"/>
          <w:sz w:val="22"/>
        </w:rPr>
        <w:t>第8条（工事関係者についての異議）</w:t>
      </w:r>
    </w:p>
    <w:p>
      <w:pPr>
        <w:spacing w:before="0" w:after="100" w:line="256" w:lineRule="exact"/>
      </w:pPr>
      <w:r>
        <w:rPr>
          <w:rFonts w:ascii="Yu Gothic" w:hAnsi="Yu Gothic" w:eastAsia="Yu Gothic"/>
          <w:b w:val="0"/>
          <w:i w:val="0"/>
          <w:color w:val="1A1A1A"/>
          <w:sz w:val="18"/>
        </w:rPr>
        <w:t>甲及び監督員は、現場代理人、主任技術者（監理技術者）、専門技術者その他乙が工事を施工するために使用している下請負人、労働者等で工事の施工又は管理につき著しく不適当と認められるものがあるときは、乙に対して、その理由を明示した書面によりその交替を請求することができる。</w:t>
      </w:r>
    </w:p>
    <w:p>
      <w:pPr>
        <w:spacing w:before="60" w:after="40"/>
        <w:pBdr>
          <w:top w:val="double" w:sz="8" w:space="1" w:color="1B3A5C"/>
        </w:pBdr>
      </w:pPr>
      <w:r>
        <w:rPr>
          <w:rFonts w:ascii="Yu Gothic" w:hAnsi="Yu Gothic" w:eastAsia="Yu Gothic"/>
          <w:b/>
          <w:i w:val="0"/>
          <w:color w:val="1B3A5C"/>
          <w:sz w:val="22"/>
        </w:rPr>
        <w:t>第9条（工事材料の品質、検査等）</w:t>
      </w:r>
    </w:p>
    <w:p>
      <w:pPr>
        <w:spacing w:before="0" w:after="100" w:line="256" w:lineRule="exact"/>
      </w:pPr>
      <w:r>
        <w:rPr>
          <w:rFonts w:ascii="Yu Gothic" w:hAnsi="Yu Gothic" w:eastAsia="Yu Gothic"/>
          <w:b w:val="0"/>
          <w:i w:val="0"/>
          <w:color w:val="1A1A1A"/>
          <w:sz w:val="18"/>
        </w:rPr>
        <w:t>1. 工事材料の品質については、設計図書に定めるところによる。設計図書にその品質が明示されていない場合にあっては、中等の品質を有するものとする。</w:t>
        <w:br/>
        <w:t>2. 乙は、設計図書において監督員の検査を受けて使用すべきものと指定された工事材料については、当該検査に合格したものを使用しなければならない。</w:t>
      </w:r>
    </w:p>
    <w:p>
      <w:pPr>
        <w:spacing w:before="60" w:after="40"/>
        <w:pBdr>
          <w:top w:val="double" w:sz="8" w:space="1" w:color="1B3A5C"/>
        </w:pBdr>
      </w:pPr>
      <w:r>
        <w:rPr>
          <w:rFonts w:ascii="Yu Gothic" w:hAnsi="Yu Gothic" w:eastAsia="Yu Gothic"/>
          <w:b/>
          <w:i w:val="0"/>
          <w:color w:val="1B3A5C"/>
          <w:sz w:val="22"/>
        </w:rPr>
        <w:t>第10条（条件変更等）</w:t>
      </w:r>
    </w:p>
    <w:p>
      <w:pPr>
        <w:spacing w:before="0" w:after="100" w:line="256" w:lineRule="exact"/>
      </w:pPr>
      <w:r>
        <w:rPr>
          <w:rFonts w:ascii="Yu Gothic" w:hAnsi="Yu Gothic" w:eastAsia="Yu Gothic"/>
          <w:b w:val="0"/>
          <w:i w:val="0"/>
          <w:color w:val="1A1A1A"/>
          <w:sz w:val="18"/>
        </w:rPr>
        <w:t>工事現場の状況、地中の状態、施工上の制約その他工事の施工条件について、設計図書に示された施工条件と実際の工事現場が一致しない場合等には、乙は、その旨を直ちに監督員に通知し、その確認を求めなければならない。</w:t>
      </w:r>
    </w:p>
    <w:p>
      <w:pPr>
        <w:spacing w:before="60" w:after="40"/>
        <w:pBdr>
          <w:top w:val="double" w:sz="8" w:space="1" w:color="1B3A5C"/>
        </w:pBdr>
      </w:pPr>
      <w:r>
        <w:rPr>
          <w:rFonts w:ascii="Yu Gothic" w:hAnsi="Yu Gothic" w:eastAsia="Yu Gothic"/>
          <w:b/>
          <w:i w:val="0"/>
          <w:color w:val="1B3A5C"/>
          <w:sz w:val="22"/>
        </w:rPr>
        <w:t>第11条（設計図書の変更）</w:t>
      </w:r>
    </w:p>
    <w:p>
      <w:pPr>
        <w:spacing w:before="0" w:after="100" w:line="256" w:lineRule="exact"/>
      </w:pPr>
      <w:r>
        <w:rPr>
          <w:rFonts w:ascii="Yu Gothic" w:hAnsi="Yu Gothic" w:eastAsia="Yu Gothic"/>
          <w:b w:val="0"/>
          <w:i w:val="0"/>
          <w:color w:val="1A1A1A"/>
          <w:sz w:val="18"/>
        </w:rPr>
        <w:t>甲は、必要があると認めるときは、設計図書の変更内容を乙に通知して、設計図書を変更することができる。この場合において、必要があると認められるときは、甲乙協議して工期若しく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第12条（工事の中止等）</w:t>
      </w:r>
    </w:p>
    <w:p>
      <w:pPr>
        <w:spacing w:before="0" w:after="100" w:line="256" w:lineRule="exact"/>
      </w:pPr>
      <w:r>
        <w:rPr>
          <w:rFonts w:ascii="Yu Gothic" w:hAnsi="Yu Gothic" w:eastAsia="Yu Gothic"/>
          <w:b w:val="0"/>
          <w:i w:val="0"/>
          <w:color w:val="1A1A1A"/>
          <w:sz w:val="18"/>
        </w:rPr>
        <w:t>1. 工事用地等の確保ができない等のため又は天災その他不可抗力により工事目的物等に損害を生じ若しくは工事現場の状態が変動したため、乙が工事を施工できないと認められるときは、甲は、工事の中止内容を直ちに乙に通知して、工事の全部又は一部の施工を一時中止させなければならない。</w:t>
        <w:br/>
        <w:t>2. 工事の中止又は工期の延長に伴い、必要があると認められるときは、甲乙協議して工期若しくは請負代金額を変更し、又は乙が工事の続行に備え工事現場を維持し若しくは労働者、建設機械器具等を保持するための費用その他の工事の施工の一時中止に伴う増加費用を必要としたときは甲はその費用を負担する。</w:t>
      </w:r>
    </w:p>
    <w:p>
      <w:pPr>
        <w:spacing w:before="60" w:after="40"/>
        <w:pBdr>
          <w:top w:val="double" w:sz="8" w:space="1" w:color="1B3A5C"/>
        </w:pBdr>
      </w:pPr>
      <w:r>
        <w:rPr>
          <w:rFonts w:ascii="Yu Gothic" w:hAnsi="Yu Gothic" w:eastAsia="Yu Gothic"/>
          <w:b/>
          <w:i w:val="0"/>
          <w:color w:val="1B3A5C"/>
          <w:sz w:val="22"/>
        </w:rPr>
        <w:t>第13条（乙の請求による工期の延長）</w:t>
      </w:r>
    </w:p>
    <w:p>
      <w:pPr>
        <w:spacing w:before="0" w:after="100" w:line="256" w:lineRule="exact"/>
      </w:pPr>
      <w:r>
        <w:rPr>
          <w:rFonts w:ascii="Yu Gothic" w:hAnsi="Yu Gothic" w:eastAsia="Yu Gothic"/>
          <w:b w:val="0"/>
          <w:i w:val="0"/>
          <w:color w:val="1A1A1A"/>
          <w:sz w:val="18"/>
        </w:rPr>
        <w:t>乙は、その責めに帰すことができない事由により工期内に工事を完成することができないときは、その理由を明示した書面により甲に対して工期の延長を求めることができる。</w:t>
      </w:r>
    </w:p>
    <w:p>
      <w:pPr>
        <w:spacing w:before="60" w:after="40"/>
        <w:pBdr>
          <w:top w:val="double" w:sz="8" w:space="1" w:color="1B3A5C"/>
        </w:pBdr>
      </w:pPr>
      <w:r>
        <w:rPr>
          <w:rFonts w:ascii="Yu Gothic" w:hAnsi="Yu Gothic" w:eastAsia="Yu Gothic"/>
          <w:b/>
          <w:i w:val="0"/>
          <w:color w:val="1B3A5C"/>
          <w:sz w:val="22"/>
        </w:rPr>
        <w:t>第14条（甲の請求による工期の短縮等）</w:t>
      </w:r>
    </w:p>
    <w:p>
      <w:pPr>
        <w:spacing w:before="0" w:after="100" w:line="256" w:lineRule="exact"/>
      </w:pPr>
      <w:r>
        <w:rPr>
          <w:rFonts w:ascii="Yu Gothic" w:hAnsi="Yu Gothic" w:eastAsia="Yu Gothic"/>
          <w:b w:val="0"/>
          <w:i w:val="0"/>
          <w:color w:val="1A1A1A"/>
          <w:sz w:val="18"/>
        </w:rPr>
        <w:t>甲は、特別の理由により工期を短縮する必要があるときは、工期の短縮変更を乙に請求することができる。この場合において、甲は、必要があると認められるとき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第15条（工期の変更方法）</w:t>
      </w:r>
    </w:p>
    <w:p>
      <w:pPr>
        <w:spacing w:before="0" w:after="100" w:line="256" w:lineRule="exact"/>
      </w:pPr>
      <w:r>
        <w:rPr>
          <w:rFonts w:ascii="Yu Gothic" w:hAnsi="Yu Gothic" w:eastAsia="Yu Gothic"/>
          <w:b w:val="0"/>
          <w:i w:val="0"/>
          <w:color w:val="1A1A1A"/>
          <w:sz w:val="18"/>
        </w:rPr>
        <w:t>工期の変更については、甲乙協議して定める。ただし、協議開始の日から14日以内に協議が整わない場合には、甲が定め、乙に通知する。</w:t>
      </w:r>
    </w:p>
    <w:p>
      <w:pPr>
        <w:spacing w:before="60" w:after="40"/>
        <w:pBdr>
          <w:top w:val="double" w:sz="8" w:space="1" w:color="1B3A5C"/>
        </w:pBdr>
      </w:pPr>
      <w:r>
        <w:rPr>
          <w:rFonts w:ascii="Yu Gothic" w:hAnsi="Yu Gothic" w:eastAsia="Yu Gothic"/>
          <w:b/>
          <w:i w:val="0"/>
          <w:color w:val="1B3A5C"/>
          <w:sz w:val="22"/>
        </w:rPr>
        <w:t>第16条（請負代金額の変更方法等）</w:t>
      </w:r>
    </w:p>
    <w:p>
      <w:pPr>
        <w:spacing w:before="0" w:after="100" w:line="256" w:lineRule="exact"/>
      </w:pPr>
      <w:r>
        <w:rPr>
          <w:rFonts w:ascii="Yu Gothic" w:hAnsi="Yu Gothic" w:eastAsia="Yu Gothic"/>
          <w:b w:val="0"/>
          <w:i w:val="0"/>
          <w:color w:val="1A1A1A"/>
          <w:sz w:val="18"/>
        </w:rPr>
        <w:t>1. 請負代金額の変更については、甲乙協議して定める。ただし、協議開始の日から14日以内に協議が整わない場合には、甲が定め、乙に通知する。</w:t>
        <w:br/>
        <w:t>2. この約款の他の条項の規定により乙が増加費用を必要とした場合又は損害を受けた場合に甲が負担する必要な費用の額については、甲乙協議して定める。</w:t>
      </w:r>
    </w:p>
    <w:p>
      <w:pPr>
        <w:spacing w:before="60" w:after="40"/>
        <w:pBdr>
          <w:top w:val="double" w:sz="8" w:space="1" w:color="1B3A5C"/>
        </w:pBdr>
      </w:pPr>
      <w:r>
        <w:rPr>
          <w:rFonts w:ascii="Yu Gothic" w:hAnsi="Yu Gothic" w:eastAsia="Yu Gothic"/>
          <w:b/>
          <w:i w:val="0"/>
          <w:color w:val="1B3A5C"/>
          <w:sz w:val="22"/>
        </w:rPr>
        <w:t>第17条（臨機の措置）</w:t>
      </w:r>
    </w:p>
    <w:p>
      <w:pPr>
        <w:spacing w:before="0" w:after="100" w:line="256" w:lineRule="exact"/>
      </w:pPr>
      <w:r>
        <w:rPr>
          <w:rFonts w:ascii="Yu Gothic" w:hAnsi="Yu Gothic" w:eastAsia="Yu Gothic"/>
          <w:b w:val="0"/>
          <w:i w:val="0"/>
          <w:color w:val="1A1A1A"/>
          <w:sz w:val="18"/>
        </w:rPr>
        <w:t>1. 乙は、災害防止等のため必要があると認めるときは、臨機の措置をとらなければならない。この場合において、必要があると認めるときは、乙は、あらかじめ監督員の意見を聴かなければならない。ただし、緊急やむを得ない事情があるときは、この限りでない。</w:t>
        <w:br/>
        <w:t>2. 乙が前項の措置をとった場合において、当該措置に要した費用のうち、乙が請負代金額の範囲において負担することが適当でないと認められる部分については、甲が負担する。</w:t>
      </w:r>
    </w:p>
    <w:p>
      <w:pPr>
        <w:spacing w:before="60" w:after="40"/>
        <w:pBdr>
          <w:top w:val="double" w:sz="8" w:space="1" w:color="1B3A5C"/>
        </w:pBdr>
      </w:pPr>
      <w:r>
        <w:rPr>
          <w:rFonts w:ascii="Yu Gothic" w:hAnsi="Yu Gothic" w:eastAsia="Yu Gothic"/>
          <w:b/>
          <w:i w:val="0"/>
          <w:color w:val="1B3A5C"/>
          <w:sz w:val="22"/>
        </w:rPr>
        <w:t>第18条（一般的損害）</w:t>
      </w:r>
    </w:p>
    <w:p>
      <w:pPr>
        <w:spacing w:before="0" w:after="100" w:line="256" w:lineRule="exact"/>
      </w:pPr>
      <w:r>
        <w:rPr>
          <w:rFonts w:ascii="Yu Gothic" w:hAnsi="Yu Gothic" w:eastAsia="Yu Gothic"/>
          <w:b w:val="0"/>
          <w:i w:val="0"/>
          <w:color w:val="1A1A1A"/>
          <w:sz w:val="18"/>
        </w:rPr>
        <w:t>工事目的物の引渡し前に、工事目的物又は工事材料について生じた損害その他工事の施工に関して生じた損害（次条第1項又は第2項に規定する損害を除く。）については、乙の負担とする。ただし、その損害（保険その他の方法により填補された部分を除く。）のうち甲の責めに帰すべき事由により生じたものについては、甲が負担する。</w:t>
      </w:r>
    </w:p>
    <w:p>
      <w:pPr>
        <w:spacing w:before="60" w:after="40"/>
        <w:pBdr>
          <w:top w:val="double" w:sz="8" w:space="1" w:color="1B3A5C"/>
        </w:pBdr>
      </w:pPr>
      <w:r>
        <w:rPr>
          <w:rFonts w:ascii="Yu Gothic" w:hAnsi="Yu Gothic" w:eastAsia="Yu Gothic"/>
          <w:b/>
          <w:i w:val="0"/>
          <w:color w:val="1B3A5C"/>
          <w:sz w:val="22"/>
        </w:rPr>
        <w:t>第19条（第三者に及ぼした損害）</w:t>
      </w:r>
    </w:p>
    <w:p>
      <w:pPr>
        <w:spacing w:before="0" w:after="100" w:line="256" w:lineRule="exact"/>
      </w:pPr>
      <w:r>
        <w:rPr>
          <w:rFonts w:ascii="Yu Gothic" w:hAnsi="Yu Gothic" w:eastAsia="Yu Gothic"/>
          <w:b w:val="0"/>
          <w:i w:val="0"/>
          <w:color w:val="1A1A1A"/>
          <w:sz w:val="18"/>
        </w:rPr>
        <w:t>1. 工事の施工について第三者に損害を及ぼしたときは、乙がその損害を賠償しなければならない。ただし、その損害のうち甲の責めに帰すべき事由により生じたものについては、甲が負担する。</w:t>
        <w:br/>
        <w:t>2. 前項の規定にかかわらず、工事の施工に伴い通常避けることができない騒音、振動、地盤沈下、地下水の断絶等の理由により第三者に損害を及ぼしたときは、甲がその損害を負担しなければならない。</w:t>
      </w:r>
    </w:p>
    <w:p>
      <w:pPr>
        <w:spacing w:before="60" w:after="40"/>
        <w:pBdr>
          <w:top w:val="double" w:sz="8" w:space="1" w:color="1B3A5C"/>
        </w:pBdr>
      </w:pPr>
      <w:r>
        <w:rPr>
          <w:rFonts w:ascii="Yu Gothic" w:hAnsi="Yu Gothic" w:eastAsia="Yu Gothic"/>
          <w:b/>
          <w:i w:val="0"/>
          <w:color w:val="1B3A5C"/>
          <w:sz w:val="22"/>
        </w:rPr>
        <w:t>第20条（不可抗力による損害）</w:t>
      </w:r>
    </w:p>
    <w:p>
      <w:pPr>
        <w:spacing w:before="0" w:after="100" w:line="256" w:lineRule="exact"/>
      </w:pPr>
      <w:r>
        <w:rPr>
          <w:rFonts w:ascii="Yu Gothic" w:hAnsi="Yu Gothic" w:eastAsia="Yu Gothic"/>
          <w:b w:val="0"/>
          <w:i w:val="0"/>
          <w:color w:val="1A1A1A"/>
          <w:sz w:val="18"/>
        </w:rPr>
        <w:t>1. 工事目的物の引渡し前に、天災等（設計図書で基準を定めたものにあってはその基準を超えるものに限る。）で甲乙いずれの責めにも帰すことができないもの（以下「不可抗力」という。）により、工事目的物、工事仮設物、工事現場に搬入済みの工事材料又は建設機械器具に損害を生じたときは、乙は、事実発生後直ちにその状況を甲に通知しなければならない。</w:t>
        <w:br/>
        <w:t>2. 甲は、前項の規定による通知を受けたときは、直ちに調査を行い、当該損害（保険その他の方法により填補された部分を除く。）の状況を確認しなければならない。</w:t>
        <w:br/>
        <w:t>3. 損害について甲乙協議の上、重大なものと認められ、かつ、乙が善良な管理者の注意義務を怠らなかったと認められるものは、甲がこれを負担する。</w:t>
      </w:r>
    </w:p>
    <w:p>
      <w:pPr>
        <w:spacing w:before="60" w:after="40"/>
        <w:pBdr>
          <w:top w:val="double" w:sz="8" w:space="1" w:color="1B3A5C"/>
        </w:pBdr>
      </w:pPr>
      <w:r>
        <w:rPr>
          <w:rFonts w:ascii="Yu Gothic" w:hAnsi="Yu Gothic" w:eastAsia="Yu Gothic"/>
          <w:b/>
          <w:i w:val="0"/>
          <w:color w:val="1B3A5C"/>
          <w:sz w:val="22"/>
        </w:rPr>
        <w:t>第21条（請負代金額の変更に代える設計図書の変更）</w:t>
      </w:r>
    </w:p>
    <w:p>
      <w:pPr>
        <w:spacing w:before="0" w:after="100" w:line="256" w:lineRule="exact"/>
      </w:pPr>
      <w:r>
        <w:rPr>
          <w:rFonts w:ascii="Yu Gothic" w:hAnsi="Yu Gothic" w:eastAsia="Yu Gothic"/>
          <w:b w:val="0"/>
          <w:i w:val="0"/>
          <w:color w:val="1A1A1A"/>
          <w:sz w:val="18"/>
        </w:rPr>
        <w:t>甲は、第11条、第12条、第14条、第17条、第19条、第20条第2項、前条又は第29条の規定により請負代金額を増額すべき場合又は費用を負担すべき場合において、特別の理由があるときは、請負代金額の増額又は負担額の全部又は一部に代えて設計図書を変更することができる。</w:t>
      </w:r>
    </w:p>
    <w:p>
      <w:pPr>
        <w:spacing w:before="60" w:after="40"/>
        <w:pBdr>
          <w:top w:val="double" w:sz="8" w:space="1" w:color="1B3A5C"/>
        </w:pBdr>
      </w:pPr>
      <w:r>
        <w:rPr>
          <w:rFonts w:ascii="Yu Gothic" w:hAnsi="Yu Gothic" w:eastAsia="Yu Gothic"/>
          <w:b/>
          <w:i w:val="0"/>
          <w:color w:val="1B3A5C"/>
          <w:sz w:val="22"/>
        </w:rPr>
        <w:t>第22条（検査及び引渡し）</w:t>
      </w:r>
    </w:p>
    <w:p>
      <w:pPr>
        <w:spacing w:before="0" w:after="100" w:line="256" w:lineRule="exact"/>
      </w:pPr>
      <w:r>
        <w:rPr>
          <w:rFonts w:ascii="Yu Gothic" w:hAnsi="Yu Gothic" w:eastAsia="Yu Gothic"/>
          <w:b w:val="0"/>
          <w:i w:val="0"/>
          <w:color w:val="1A1A1A"/>
          <w:sz w:val="18"/>
        </w:rPr>
        <w:t>1. 乙は、工事を完成したときは、その旨を甲に通知しなければならない。</w:t>
        <w:br/>
        <w:t>2. 甲は、前項の規定による通知を受けたときは、通知を受けた日から14日以内に乙の立会いの上、設計図書に定めるところにより、工事の完成を確認するための検査を完了し、当該検査の結果を乙に通知しなければならない。</w:t>
        <w:br/>
        <w:t>3. 甲は、前項の検査によって工事の完成を確認した後、乙が工事目的物の引渡しを申し出たときは、直ちに当該工事目的物の引渡しを受けなければならない。</w:t>
      </w:r>
    </w:p>
    <w:p>
      <w:pPr>
        <w:spacing w:before="60" w:after="40"/>
        <w:pBdr>
          <w:top w:val="double" w:sz="8" w:space="1" w:color="1B3A5C"/>
        </w:pBdr>
      </w:pPr>
      <w:r>
        <w:rPr>
          <w:rFonts w:ascii="Yu Gothic" w:hAnsi="Yu Gothic" w:eastAsia="Yu Gothic"/>
          <w:b/>
          <w:i w:val="0"/>
          <w:color w:val="1B3A5C"/>
          <w:sz w:val="22"/>
        </w:rPr>
        <w:t>第23条（請負代金の支払）</w:t>
      </w:r>
    </w:p>
    <w:p>
      <w:pPr>
        <w:spacing w:before="0" w:after="100" w:line="256" w:lineRule="exact"/>
      </w:pPr>
      <w:r>
        <w:rPr>
          <w:rFonts w:ascii="Yu Gothic" w:hAnsi="Yu Gothic" w:eastAsia="Yu Gothic"/>
          <w:b w:val="0"/>
          <w:i w:val="0"/>
          <w:color w:val="1A1A1A"/>
          <w:sz w:val="18"/>
        </w:rPr>
        <w:t>1. 乙は、前条第2項の検査に合格したときは、請負代金の支払を請求することができる。</w:t>
        <w:br/>
        <w:t>2. 甲は、前項の規定による請求があったときは、請求を受けた日から40日以内に請負代金を支払わなければならない。</w:t>
        <w:br/>
        <w:t>3. 甲が前項の期間内に請負代金を支払わなかったときは、乙は、未払金額について、その期間を経過した日の翌日から支払をする日までの日数に応じ、年　　％の割合で計算した額の遅延利息を甲に請求することができる。</w:t>
      </w:r>
    </w:p>
    <w:p>
      <w:pPr>
        <w:spacing w:before="60" w:after="40"/>
        <w:pBdr>
          <w:top w:val="double" w:sz="8" w:space="1" w:color="1B3A5C"/>
        </w:pBdr>
      </w:pPr>
      <w:r>
        <w:rPr>
          <w:rFonts w:ascii="Yu Gothic" w:hAnsi="Yu Gothic" w:eastAsia="Yu Gothic"/>
          <w:b/>
          <w:i w:val="0"/>
          <w:color w:val="1B3A5C"/>
          <w:sz w:val="22"/>
        </w:rPr>
        <w:t>第24条（部分使用）</w:t>
      </w:r>
    </w:p>
    <w:p>
      <w:pPr>
        <w:spacing w:before="0" w:after="100" w:line="256" w:lineRule="exact"/>
      </w:pPr>
      <w:r>
        <w:rPr>
          <w:rFonts w:ascii="Yu Gothic" w:hAnsi="Yu Gothic" w:eastAsia="Yu Gothic"/>
          <w:b w:val="0"/>
          <w:i w:val="0"/>
          <w:color w:val="1A1A1A"/>
          <w:sz w:val="18"/>
        </w:rPr>
        <w:t>1. 甲は、第22条第3項の規定による引渡し前においても、工事目的物の全部又は一部を乙の承諾を得て使用することができる。</w:t>
        <w:br/>
        <w:t>2. 前項の場合においては、甲は、その使用部分を善良な管理者の注意をもって使用しなければならない。</w:t>
      </w:r>
    </w:p>
    <w:p>
      <w:pPr>
        <w:spacing w:before="60" w:after="40"/>
        <w:pBdr>
          <w:top w:val="double" w:sz="8" w:space="1" w:color="1B3A5C"/>
        </w:pBdr>
      </w:pPr>
      <w:r>
        <w:rPr>
          <w:rFonts w:ascii="Yu Gothic" w:hAnsi="Yu Gothic" w:eastAsia="Yu Gothic"/>
          <w:b/>
          <w:i w:val="0"/>
          <w:color w:val="1B3A5C"/>
          <w:sz w:val="22"/>
        </w:rPr>
        <w:t>第25条（前払金等）</w:t>
      </w:r>
    </w:p>
    <w:p>
      <w:pPr>
        <w:spacing w:before="0" w:after="100" w:line="256" w:lineRule="exact"/>
      </w:pPr>
      <w:r>
        <w:rPr>
          <w:rFonts w:ascii="Yu Gothic" w:hAnsi="Yu Gothic" w:eastAsia="Yu Gothic"/>
          <w:b w:val="0"/>
          <w:i w:val="0"/>
          <w:color w:val="1A1A1A"/>
          <w:sz w:val="18"/>
        </w:rPr>
        <w:t>1. 乙は、保証事業会社と、契約書記載の工事完成の時期を保証期限とする公共工事の前払金保証事業に関する法律第2条第5項に規定する保証契約を締結し、その保証証書を甲に寄託して、契約書記載の前払金の支払を甲に請求することができる。</w:t>
        <w:br/>
        <w:t>2. 甲は、前項の規定による請求があったときは、請求を受けた日から14日以内に前払金を支払わなければならない。</w:t>
      </w:r>
    </w:p>
    <w:p>
      <w:pPr>
        <w:spacing w:before="60" w:after="40"/>
        <w:pBdr>
          <w:top w:val="double" w:sz="8" w:space="1" w:color="1B3A5C"/>
        </w:pBdr>
      </w:pPr>
      <w:r>
        <w:rPr>
          <w:rFonts w:ascii="Yu Gothic" w:hAnsi="Yu Gothic" w:eastAsia="Yu Gothic"/>
          <w:b/>
          <w:i w:val="0"/>
          <w:color w:val="1B3A5C"/>
          <w:sz w:val="22"/>
        </w:rPr>
        <w:t>第26条（部分払）</w:t>
      </w:r>
    </w:p>
    <w:p>
      <w:pPr>
        <w:spacing w:before="0" w:after="100" w:line="256" w:lineRule="exact"/>
      </w:pPr>
      <w:r>
        <w:rPr>
          <w:rFonts w:ascii="Yu Gothic" w:hAnsi="Yu Gothic" w:eastAsia="Yu Gothic"/>
          <w:b w:val="0"/>
          <w:i w:val="0"/>
          <w:color w:val="1A1A1A"/>
          <w:sz w:val="18"/>
        </w:rPr>
        <w:t>1. 乙は、工事の完成前に、出来形部分並びに工事現場に搬入済みの工事材料及び製造工場等にある工場製品（以下これらを「出来形部分等」という。）に相応する請負代金相当額の10分の9以内の額について、契約書記載の部分払の定めに従い、その支払を請求することができる。</w:t>
        <w:br/>
        <w:t>2. 甲は、前項の規定による請求があったときは、請求を受けた日から14日以内に部分払金を支払わなければならない。</w:t>
      </w:r>
    </w:p>
    <w:p>
      <w:pPr>
        <w:spacing w:before="60" w:after="40"/>
        <w:pBdr>
          <w:top w:val="double" w:sz="8" w:space="1" w:color="1B3A5C"/>
        </w:pBdr>
      </w:pPr>
      <w:r>
        <w:rPr>
          <w:rFonts w:ascii="Yu Gothic" w:hAnsi="Yu Gothic" w:eastAsia="Yu Gothic"/>
          <w:b/>
          <w:i w:val="0"/>
          <w:color w:val="1B3A5C"/>
          <w:sz w:val="22"/>
        </w:rPr>
        <w:t>第27条（契約不適合責任）</w:t>
      </w:r>
    </w:p>
    <w:p>
      <w:pPr>
        <w:spacing w:before="0" w:after="100" w:line="256" w:lineRule="exact"/>
      </w:pPr>
      <w:r>
        <w:rPr>
          <w:rFonts w:ascii="Yu Gothic" w:hAnsi="Yu Gothic" w:eastAsia="Yu Gothic"/>
          <w:b w:val="0"/>
          <w:i w:val="0"/>
          <w:color w:val="1A1A1A"/>
          <w:sz w:val="18"/>
        </w:rPr>
        <w:t>1. 工事目的物が種類又は品質に関して契約の内容に適合しないときは、甲は乙に対し、相当の期間を定めて履行の追完（修補、代替物の引渡し又は不足分の引渡し）を請求することができる。乙は、甲に不相当な負担を課するものでないときは、甲が請求した方法と異なる方法による履行の追完をすることができる。</w:t>
        <w:br/>
        <w:t>2. 甲が相当の期間を定めて履行の追完を催告し、その期間内に追完がないときは、甲は不適合の程度に応じて報酬（請負代金）の減額を請求することができる。追完が不能であるとき等は催告を要しない。</w:t>
        <w:br/>
        <w:t>3. 前2項は、損害賠償の請求及び契約の解除を妨げない。</w:t>
        <w:br/>
        <w:t>4. 甲が不適合を知った時から1年以内にその旨を乙に通知しないときは、甲は当該不適合を理由として、履行の追完の請求、報酬の減額の請求、損害賠償の請求及び契約の解除をすることができない（民法637条1項）。ただし、引渡しの時に乙が不適合を知り、又は重大な過失によって知らなかったときは、この限りでない（同条2項）。</w:t>
        <w:br/>
        <w:t>5. 不適合が甲の供した材料の性質又は甲の与えた指図によって生じたときは、甲は前各項の請求をすることができない。ただし、乙がその材料又は指図が不適当であることを知りながら告げなかったときは、この限りでない（民法636条）。</w:t>
        <w:br/>
        <w:t>6. 新築住宅については、住宅の品質確保の促進等に関する法律第94条により、乙は引渡しの時から10年間、構造耐力上主要な部分等の瑕疵について担保の責任を負う。</w:t>
      </w:r>
    </w:p>
    <w:p>
      <w:pPr>
        <w:spacing w:before="60" w:after="40"/>
        <w:pBdr>
          <w:top w:val="double" w:sz="8" w:space="1" w:color="1B3A5C"/>
        </w:pBdr>
      </w:pPr>
      <w:r>
        <w:rPr>
          <w:rFonts w:ascii="Yu Gothic" w:hAnsi="Yu Gothic" w:eastAsia="Yu Gothic"/>
          <w:b/>
          <w:i w:val="0"/>
          <w:color w:val="1B3A5C"/>
          <w:sz w:val="22"/>
        </w:rPr>
        <w:t>第28条（甲の解除権）</w:t>
      </w:r>
    </w:p>
    <w:p>
      <w:pPr>
        <w:spacing w:before="0" w:after="100" w:line="256" w:lineRule="exact"/>
      </w:pPr>
      <w:r>
        <w:rPr>
          <w:rFonts w:ascii="Yu Gothic" w:hAnsi="Yu Gothic" w:eastAsia="Yu Gothic"/>
          <w:b w:val="0"/>
          <w:i w:val="0"/>
          <w:color w:val="1A1A1A"/>
          <w:sz w:val="18"/>
        </w:rPr>
        <w:t>甲は、乙が次の各号のいずれかに該当するときは、書面をもって乙に通知して、契約の全部又は一部を解除することができる。</w:t>
        <w:br/>
        <w:t>(1) 正当な理由なく、工事に着手すべき期日を過ぎても工事に着手しないとき。</w:t>
        <w:br/>
        <w:t>(2) 工期内に完成しないとき又は工期経過後相当の期間内に完成する見込みが明らかにないと認められるとき。</w:t>
        <w:br/>
        <w:t>(3) 主任技術者、監理技術者その他乙が工事を施工するために使用している下請負人等を設計図書に違反して使用したとき。</w:t>
        <w:br/>
        <w:t>(4) 前各号に掲げる場合のほか、契約に違反し、その違反により契約の目的を達することができないと認められるとき。</w:t>
        <w:br/>
        <w:t>乙の責めに帰すべき事由により工期内に工事を完成することができない場合において、工期経過後相当の期間内に完成する見込みがあるときは、甲は、乙に対し、遅延日数に応じ、請負代金額につき年　　％の割合で計算した額の損害金（違約金）を請求することができる。</w:t>
      </w:r>
    </w:p>
    <w:p>
      <w:pPr>
        <w:spacing w:before="60" w:after="40"/>
        <w:pBdr>
          <w:top w:val="double" w:sz="8" w:space="1" w:color="1B3A5C"/>
        </w:pBdr>
      </w:pPr>
      <w:r>
        <w:rPr>
          <w:rFonts w:ascii="Yu Gothic" w:hAnsi="Yu Gothic" w:eastAsia="Yu Gothic"/>
          <w:b/>
          <w:i w:val="0"/>
          <w:color w:val="1B3A5C"/>
          <w:sz w:val="22"/>
        </w:rPr>
        <w:t>第29条（乙の解除権）</w:t>
      </w:r>
    </w:p>
    <w:p>
      <w:pPr>
        <w:spacing w:before="0" w:after="100" w:line="256" w:lineRule="exact"/>
      </w:pPr>
      <w:r>
        <w:rPr>
          <w:rFonts w:ascii="Yu Gothic" w:hAnsi="Yu Gothic" w:eastAsia="Yu Gothic"/>
          <w:b w:val="0"/>
          <w:i w:val="0"/>
          <w:color w:val="1A1A1A"/>
          <w:sz w:val="18"/>
        </w:rPr>
        <w:t>乙は、次の各号のいずれかに該当するときは、契約を解除することができる。</w:t>
        <w:br/>
        <w:t>(1) 第11条又は第15条の規定により設計図書を変更したため請負代金額が3分の2以上減少したとき。</w:t>
        <w:br/>
        <w:t>(2) 第12条第1項の規定による工事の中止期間が工期の10分の5（工期の10分の5が6月を超えるときは、6月）を超えたとき。ただし、中止が工事の一部のみの場合は、その一部を除いた他の部分の工事が完了した後3月を経過しても、なおその中止が解除されないとき。</w:t>
        <w:br/>
        <w:t>(3) 甲が契約に違反し、その違反によって契約の履行が不可能となったとき。</w:t>
      </w:r>
    </w:p>
    <w:p>
      <w:pPr>
        <w:spacing w:before="60" w:after="40"/>
        <w:pBdr>
          <w:top w:val="double" w:sz="8" w:space="1" w:color="1B3A5C"/>
        </w:pBdr>
      </w:pPr>
      <w:r>
        <w:rPr>
          <w:rFonts w:ascii="Yu Gothic" w:hAnsi="Yu Gothic" w:eastAsia="Yu Gothic"/>
          <w:b/>
          <w:i w:val="0"/>
          <w:color w:val="1B3A5C"/>
          <w:sz w:val="22"/>
        </w:rPr>
        <w:t>第30条（紛争の解決）</w:t>
      </w:r>
    </w:p>
    <w:p>
      <w:pPr>
        <w:spacing w:before="0" w:after="100" w:line="256" w:lineRule="exact"/>
      </w:pPr>
      <w:r>
        <w:rPr>
          <w:rFonts w:ascii="Yu Gothic" w:hAnsi="Yu Gothic" w:eastAsia="Yu Gothic"/>
          <w:b w:val="0"/>
          <w:i w:val="0"/>
          <w:color w:val="1A1A1A"/>
          <w:sz w:val="18"/>
        </w:rPr>
        <w:t>1. この契約の各条項において甲乙協議して定めるものにつき協議が整わなかったときに甲又は乙が定めたものに不服がある場合その他この契約に関して甲乙間に紛争を生じた場合には、甲又は乙は、建設業法による建設工事紛争審査会（以下「審査会」という。）のあっせん又は調停によりその解決を図る。</w:t>
        <w:br/>
        <w:t>2. 甲又は乙は、前項のあっせん又は調停により紛争を解決する見込みがないと認めたときは、同項の規定にかかわらず、仲裁合意書に基づき、審査会の仲裁に付し、その仲裁判断に服する。</w:t>
      </w: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別紙1：工事内訳書</w:t>
      </w:r>
    </w:p>
    <w:tbl>
      <w:tblPr>
        <w:tblW w:type="dxa" w:w="9865"/>
        <w:tblInd w:w="113" w:type="dxa"/>
        <w:tblBorders>
          <w:top w:val="nil"/>
          <w:left w:val="nil"/>
          <w:bottom w:val="nil"/>
          <w:right w:val="nil"/>
          <w:insideH w:val="nil"/>
          <w:insideV w:val="nil"/>
        </w:tblBorders>
        <w:tblLayout w:type="fixed"/>
      </w:tblPr>
      <w:tblGrid>
        <w:gridCol w:w="1020"/>
        <w:gridCol w:w="3402"/>
        <w:gridCol w:w="1814"/>
        <w:gridCol w:w="1814"/>
        <w:gridCol w:w="1814"/>
      </w:tblGrid>
      <w:tr>
        <w:trPr>
          <w:cantSplit/>
          <w:trHeight w:val="425" w:hRule="atLeast"/>
        </w:trPr>
        <w:tc>
          <w:tcPr>
            <w:tcW w:type="dxa" w:w="1020"/>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No</w:t>
            </w:r>
          </w:p>
        </w:tc>
        <w:tc>
          <w:tcPr>
            <w:tcW w:type="dxa" w:w="3402"/>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工種</w:t>
            </w:r>
          </w:p>
        </w:tc>
        <w:tc>
          <w:tcPr>
            <w:tcW w:type="dxa" w:w="181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数量</w:t>
            </w:r>
          </w:p>
        </w:tc>
        <w:tc>
          <w:tcPr>
            <w:tcW w:type="dxa" w:w="181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単価</w:t>
            </w:r>
          </w:p>
        </w:tc>
        <w:tc>
          <w:tcPr>
            <w:tcW w:type="dxa" w:w="181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金額</w:t>
            </w: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1</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2</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3</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4</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5</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6</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7</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8</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9</w:t>
            </w:r>
          </w:p>
        </w:tc>
        <w:tc>
          <w:tcPr>
            <w:tcW w:type="dxa" w:w="3402"/>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020"/>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10</w:t>
            </w:r>
          </w:p>
        </w:tc>
        <w:tc>
          <w:tcPr>
            <w:tcW w:type="dxa" w:w="3402"/>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1814"/>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別紙2：工程表</w:t>
      </w:r>
    </w:p>
    <w:tbl>
      <w:tblPr>
        <w:tblW w:type="dxa" w:w="9865"/>
        <w:tblInd w:w="113" w:type="dxa"/>
        <w:tblBorders>
          <w:top w:val="nil"/>
          <w:left w:val="nil"/>
          <w:bottom w:val="nil"/>
          <w:right w:val="nil"/>
          <w:insideH w:val="nil"/>
          <w:insideV w:val="nil"/>
        </w:tblBorders>
        <w:tblLayout w:type="fixed"/>
      </w:tblPr>
      <w:tblGrid>
        <w:gridCol w:w="3061"/>
        <w:gridCol w:w="2268"/>
        <w:gridCol w:w="2268"/>
        <w:gridCol w:w="2268"/>
      </w:tblGrid>
      <w:tr>
        <w:trPr>
          <w:cantSplit/>
          <w:trHeight w:val="425" w:hRule="atLeast"/>
        </w:trPr>
        <w:tc>
          <w:tcPr>
            <w:tcW w:type="dxa" w:w="3061"/>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工程</w:t>
            </w:r>
          </w:p>
        </w:tc>
        <w:tc>
          <w:tcPr>
            <w:tcW w:type="dxa" w:w="226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開始</w:t>
            </w:r>
          </w:p>
        </w:tc>
        <w:tc>
          <w:tcPr>
            <w:tcW w:type="dxa" w:w="226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終了</w:t>
            </w:r>
          </w:p>
        </w:tc>
        <w:tc>
          <w:tcPr>
            <w:tcW w:type="dxa" w:w="226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別紙3：支払スケジュール</w:t>
      </w:r>
    </w:p>
    <w:tbl>
      <w:tblPr>
        <w:tblW w:type="dxa" w:w="9865"/>
        <w:tblInd w:w="113" w:type="dxa"/>
        <w:tblBorders>
          <w:top w:val="nil"/>
          <w:left w:val="nil"/>
          <w:bottom w:val="nil"/>
          <w:right w:val="nil"/>
          <w:insideH w:val="nil"/>
          <w:insideV w:val="nil"/>
        </w:tblBorders>
        <w:tblLayout w:type="fixed"/>
      </w:tblPr>
      <w:tblGrid>
        <w:gridCol w:w="3061"/>
        <w:gridCol w:w="2268"/>
        <w:gridCol w:w="2268"/>
        <w:gridCol w:w="2268"/>
      </w:tblGrid>
      <w:tr>
        <w:trPr>
          <w:cantSplit/>
          <w:trHeight w:val="425" w:hRule="atLeast"/>
        </w:trPr>
        <w:tc>
          <w:tcPr>
            <w:tcW w:type="dxa" w:w="3061"/>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区分</w:t>
            </w:r>
          </w:p>
        </w:tc>
        <w:tc>
          <w:tcPr>
            <w:tcW w:type="dxa" w:w="226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金額</w:t>
            </w:r>
          </w:p>
        </w:tc>
        <w:tc>
          <w:tcPr>
            <w:tcW w:type="dxa" w:w="226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支払日</w:t>
            </w:r>
          </w:p>
        </w:tc>
        <w:tc>
          <w:tcPr>
            <w:tcW w:type="dxa" w:w="226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契約金（前払）</w:t>
            </w: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契約後14日以内</w:t>
            </w: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中間金（出来高50%）</w:t>
            </w: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引渡金</w:t>
            </w: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完成検査合格後</w:t>
            </w:r>
          </w:p>
        </w:tc>
        <w:tc>
          <w:tcPr>
            <w:tcW w:type="dxa" w:w="226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3061"/>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（契約不適合の保証金）</w:t>
            </w:r>
          </w:p>
        </w:tc>
        <w:tc>
          <w:tcPr>
            <w:tcW w:type="dxa" w:w="2268"/>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268"/>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任意</w:t>
            </w:r>
          </w:p>
        </w:tc>
      </w:tr>
    </w:tbl>
    <w:p>
      <w:pPr>
        <w:spacing w:before="0" w:after="0" w:line="113" w:lineRule="exact"/>
      </w:pP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参考: 公共工事との違い（この書式は民間工事用です）</w:t>
      </w:r>
    </w:p>
    <w:p>
      <w:pPr>
        <w:spacing w:before="0" w:after="120" w:line="260" w:lineRule="exact"/>
      </w:pPr>
      <w:r>
        <w:rPr>
          <w:rFonts w:ascii="Yu Gothic" w:hAnsi="Yu Gothic" w:eastAsia="Yu Gothic"/>
          <w:b w:val="0"/>
          <w:i w:val="0"/>
          <w:color w:val="1A1A1A"/>
          <w:sz w:val="18"/>
        </w:rPr>
        <w:t>この書式は民間工事用です。国・地方公共団体が発注する公共工事は、公共工事標準請負契約約款を使ってください。公共工事と民間工事の主な違いは次のとおりです。</w:t>
        <w:br/>
        <w:t>・公共工事: 第25条（前払金）は公共工事の前払金保証事業に関する法律に基づく保証証書必須。</w:t>
        <w:br/>
        <w:t>・民間工事: 前払金は任意。発注者・受注者の合意による。</w:t>
        <w:br/>
        <w:t>・公共工事: 検査期間は会計法令により規定（請負代金支払は通常30日以内）。</w:t>
        <w:br/>
        <w:t>・民間工事: 第23条のとおり40日以内（標準）。短縮可。</w:t>
        <w:br/>
        <w:t>・公共工事: 第30条（紛争解決）は建設工事紛争審査会必須。</w:t>
        <w:br/>
        <w:t>・民間工事: 第30条は任意。当事者合意により管轄裁判所指定可。</w:t>
      </w:r>
    </w:p>
    <w:p>
      <w:pPr>
        <w:spacing w:before="60" w:after="40"/>
        <w:pBdr>
          <w:top w:val="double" w:sz="8" w:space="1" w:color="1B3A5C"/>
        </w:pBdr>
      </w:pPr>
      <w:r>
        <w:rPr>
          <w:rFonts w:ascii="Yu Gothic" w:hAnsi="Yu Gothic" w:eastAsia="Yu Gothic"/>
          <w:b/>
          <w:i w:val="0"/>
          <w:color w:val="1B3A5C"/>
          <w:sz w:val="22"/>
        </w:rPr>
        <w:t>参考: 2025年12月12日施行の建設業法改正について</w:t>
      </w:r>
    </w:p>
    <w:p>
      <w:pPr>
        <w:spacing w:before="0" w:after="160" w:line="260" w:lineRule="exact"/>
      </w:pPr>
      <w:r>
        <w:rPr>
          <w:rFonts w:ascii="Yu Gothic" w:hAnsi="Yu Gothic" w:eastAsia="Yu Gothic"/>
          <w:b w:val="0"/>
          <w:i w:val="0"/>
          <w:color w:val="1A1A1A"/>
          <w:sz w:val="17"/>
        </w:rPr>
        <w:t>本改正により、通常必要と認められる原価に満たない金額での契約締結の禁止（建設業法第19条の3）、及び通常必要と認められる期間に比して著しく短い工期での契約締結の禁止（同法第19条の5）は、従来の注文者（甲）だけでなく、受注者（乙）自身にも適用されるようになりました（いずれも第2項が新設）。請負代金額・工期を確定する際は、積算根拠（材料費・労務費・法定福利費等の内訳）を残しておくことを推奨します。</w:t>
      </w:r>
    </w:p>
    <w:p>
      <w:pPr>
        <w:spacing w:before="40" w:after="120" w:line="270" w:lineRule="exact"/>
      </w:pPr>
      <w:r>
        <w:rPr>
          <w:rFonts w:ascii="Yu Gothic" w:hAnsi="Yu Gothic" w:eastAsia="Yu Gothic"/>
          <w:b w:val="0"/>
          <w:i w:val="0"/>
          <w:color w:val="1A1A1A"/>
          <w:sz w:val="19"/>
        </w:rPr>
        <w:t>本契約の証として本書2通を作成し、甲乙記名押印の上、各1通を保有する。</w:t>
      </w:r>
    </w:p>
    <w:p>
      <w:pPr>
        <w:spacing w:before="0" w:after="160"/>
        <w:jc w:val="right"/>
      </w:pPr>
      <w:r>
        <w:rPr>
          <w:rFonts w:ascii="Yu Gothic" w:hAnsi="Yu Gothic" w:eastAsia="Yu Gothic"/>
          <w:b w:val="0"/>
          <w:i w:val="0"/>
          <w:color w:val="1A1A1A"/>
          <w:sz w:val="19"/>
        </w:rPr>
        <w:t>令和　　年　　月　　日</w:t>
      </w:r>
    </w:p>
    <w:p>
      <w:pPr>
        <w:spacing w:before="60" w:after="40"/>
        <w:pBdr>
          <w:top w:val="double" w:sz="8" w:space="1" w:color="1B3A5C"/>
        </w:pBdr>
      </w:pPr>
      <w:r>
        <w:rPr>
          <w:rFonts w:ascii="Yu Gothic" w:hAnsi="Yu Gothic" w:eastAsia="Yu Gothic"/>
          <w:b/>
          <w:i w:val="0"/>
          <w:color w:val="1B3A5C"/>
          <w:sz w:val="22"/>
        </w:rPr>
        <w:t>甲（発注者）</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60" w:after="40"/>
        <w:pBdr>
          <w:top w:val="double" w:sz="8" w:space="1" w:color="1B3A5C"/>
        </w:pBdr>
      </w:pPr>
      <w:r>
        <w:rPr>
          <w:rFonts w:ascii="Yu Gothic" w:hAnsi="Yu Gothic" w:eastAsia="Yu Gothic"/>
          <w:b/>
          <w:i w:val="0"/>
          <w:color w:val="1B3A5C"/>
          <w:sz w:val="22"/>
        </w:rPr>
        <w:t>乙（受注者）</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建設業許可番号</w:t>
            </w:r>
          </w:p>
        </w:tc>
        <w:tc>
          <w:tcPr>
            <w:tcW w:type="dxa" w:w="7937"/>
            <w:gridSpan w:val="2"/>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