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游ゴシック" w:hAnsi="游ゴシック" w:eastAsia="游ゴシック"/>
          <w:b/>
          <w:sz w:val="40"/>
        </w:rPr>
        <w:t>注　意　指　導　書</w:t>
      </w:r>
    </w:p>
    <w:p/>
    <w:p>
      <w:pPr>
        <w:jc w:val="right"/>
      </w:pPr>
      <w:r>
        <w:rPr>
          <w:rFonts w:ascii="ＭＳ 明朝" w:hAnsi="ＭＳ 明朝" w:eastAsia="ＭＳ 明朝"/>
          <w:b w:val="0"/>
          <w:sz w:val="22"/>
        </w:rPr>
        <w:t>令和　年　月　日</w:t>
      </w:r>
    </w:p>
    <w:p>
      <w:pPr>
        <w:jc w:val="right"/>
      </w:pPr>
      <w:r>
        <w:rPr>
          <w:rFonts w:ascii="ＭＳ 明朝" w:hAnsi="ＭＳ 明朝" w:eastAsia="ＭＳ 明朝"/>
          <w:b w:val="0"/>
          <w:sz w:val="22"/>
        </w:rPr>
        <w:t xml:space="preserve">　　　　　　　　　　殿</w:t>
      </w:r>
    </w:p>
    <w:p/>
    <w:p>
      <w:r>
        <w:rPr>
          <w:rFonts w:ascii="ＭＳ 明朝" w:hAnsi="ＭＳ 明朝" w:eastAsia="ＭＳ 明朝"/>
          <w:b w:val="0"/>
          <w:sz w:val="20"/>
        </w:rPr>
        <w:t>下記のとおり、業務上の問題につき注意し、改善を指導します。</w:t>
      </w:r>
    </w:p>
    <w:p/>
    <w:tbl>
      <w:tblPr>
        <w:tblStyle w:val="TableGrid"/>
        <w:tblW w:type="auto" w:w="0"/>
        <w:tblLook w:firstColumn="1" w:firstRow="1" w:lastColumn="0" w:lastRow="0" w:noHBand="0" w:noVBand="1" w:val="04A0"/>
      </w:tblPr>
      <w:tblGrid>
        <w:gridCol w:w="4819"/>
        <w:gridCol w:w="4819"/>
      </w:tblGrid>
      <w:tr>
        <w:tc>
          <w:tcPr>
            <w:tcW w:type="dxa" w:w="4819"/>
          </w:tcPr>
          <w:p>
            <w:r/>
            <w:r>
              <w:rPr>
                <w:rFonts w:ascii="ＭＳ 明朝" w:hAnsi="ＭＳ 明朝" w:eastAsia="ＭＳ 明朝"/>
                <w:b/>
                <w:sz w:val="19"/>
              </w:rPr>
              <w:t>発生日時</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事案の概要</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就業規則上の根拠</w:t>
            </w:r>
          </w:p>
        </w:tc>
        <w:tc>
          <w:tcPr>
            <w:tcW w:type="dxa" w:w="4819"/>
          </w:tcPr>
          <w:p>
            <w:r/>
            <w:r>
              <w:rPr>
                <w:rFonts w:ascii="ＭＳ 明朝" w:hAnsi="ＭＳ 明朝" w:eastAsia="ＭＳ 明朝"/>
                <w:b w:val="0"/>
                <w:sz w:val="19"/>
              </w:rPr>
              <w:t>就業規則第　条（　　　　　）</w:t>
            </w:r>
          </w:p>
        </w:tc>
      </w:tr>
      <w:tr>
        <w:tc>
          <w:tcPr>
            <w:tcW w:type="dxa" w:w="4819"/>
          </w:tcPr>
          <w:p>
            <w:r/>
            <w:r>
              <w:rPr>
                <w:rFonts w:ascii="ＭＳ 明朝" w:hAnsi="ＭＳ 明朝" w:eastAsia="ＭＳ 明朝"/>
                <w:b/>
                <w:sz w:val="19"/>
              </w:rPr>
              <w:t>改善を求める事項</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改善期限</w:t>
            </w:r>
          </w:p>
        </w:tc>
        <w:tc>
          <w:tcPr>
            <w:tcW w:type="dxa" w:w="4819"/>
          </w:tcPr>
          <w:p>
            <w:r/>
            <w:r>
              <w:rPr>
                <w:rFonts w:ascii="ＭＳ 明朝" w:hAnsi="ＭＳ 明朝" w:eastAsia="ＭＳ 明朝"/>
                <w:b w:val="0"/>
                <w:sz w:val="19"/>
              </w:rPr>
              <w:t>令和　年　月　日</w:t>
            </w:r>
          </w:p>
        </w:tc>
      </w:tr>
      <w:tr>
        <w:tc>
          <w:tcPr>
            <w:tcW w:type="dxa" w:w="4819"/>
          </w:tcPr>
          <w:p>
            <w:r/>
            <w:r>
              <w:rPr>
                <w:rFonts w:ascii="ＭＳ 明朝" w:hAnsi="ＭＳ 明朝" w:eastAsia="ＭＳ 明朝"/>
                <w:b/>
                <w:sz w:val="19"/>
              </w:rPr>
              <w:t>次回同様の事案が生じた場合の取扱い</w:t>
            </w:r>
          </w:p>
        </w:tc>
        <w:tc>
          <w:tcPr>
            <w:tcW w:type="dxa" w:w="4819"/>
          </w:tcPr>
          <w:p>
            <w:r/>
            <w:r>
              <w:rPr>
                <w:rFonts w:ascii="ＭＳ 明朝" w:hAnsi="ＭＳ 明朝" w:eastAsia="ＭＳ 明朝"/>
                <w:b w:val="0"/>
                <w:sz w:val="19"/>
              </w:rPr>
            </w:r>
          </w:p>
        </w:tc>
      </w:tr>
    </w:tbl>
    <w:p/>
    <w:p>
      <w:r>
        <w:rPr>
          <w:rFonts w:ascii="ＭＳ 明朝" w:hAnsi="ＭＳ 明朝" w:eastAsia="ＭＳ 明朝"/>
          <w:b w:val="0"/>
          <w:sz w:val="19"/>
        </w:rPr>
        <w:t>本書の内容を確認しました。</w:t>
      </w:r>
    </w:p>
    <w:p>
      <w:pPr>
        <w:jc w:val="right"/>
      </w:pPr>
      <w:r>
        <w:rPr>
          <w:rFonts w:ascii="ＭＳ 明朝" w:hAnsi="ＭＳ 明朝" w:eastAsia="ＭＳ 明朝"/>
          <w:b w:val="0"/>
          <w:sz w:val="21"/>
        </w:rPr>
        <w:t>本人署名：　　　　　　　　　　　　㊞</w:t>
      </w:r>
    </w:p>
    <w:p>
      <w:r>
        <w:br w:type="page"/>
      </w:r>
    </w:p>
    <w:p>
      <w:pPr>
        <w:jc w:val="center"/>
      </w:pPr>
      <w:r>
        <w:rPr>
          <w:rFonts w:ascii="游ゴシック" w:hAnsi="游ゴシック" w:eastAsia="游ゴシック"/>
          <w:b/>
          <w:sz w:val="40"/>
        </w:rPr>
        <w:t>弁明の機会付与通知書</w:t>
      </w:r>
    </w:p>
    <w:p/>
    <w:p>
      <w:pPr>
        <w:jc w:val="right"/>
      </w:pPr>
      <w:r>
        <w:rPr>
          <w:rFonts w:ascii="ＭＳ 明朝" w:hAnsi="ＭＳ 明朝" w:eastAsia="ＭＳ 明朝"/>
          <w:b w:val="0"/>
          <w:sz w:val="22"/>
        </w:rPr>
        <w:t>令和　年　月　日</w:t>
      </w:r>
    </w:p>
    <w:p>
      <w:pPr>
        <w:jc w:val="right"/>
      </w:pPr>
      <w:r>
        <w:rPr>
          <w:rFonts w:ascii="ＭＳ 明朝" w:hAnsi="ＭＳ 明朝" w:eastAsia="ＭＳ 明朝"/>
          <w:b w:val="0"/>
          <w:sz w:val="22"/>
        </w:rPr>
        <w:t xml:space="preserve">　　　　　　　　　　殿</w:t>
      </w:r>
    </w:p>
    <w:p/>
    <w:p>
      <w:r>
        <w:rPr>
          <w:rFonts w:ascii="ＭＳ 明朝" w:hAnsi="ＭＳ 明朝" w:eastAsia="ＭＳ 明朝"/>
          <w:b w:val="0"/>
          <w:sz w:val="19"/>
        </w:rPr>
        <w:t>貴殿について、下記の事案に関し懲戒処分を検討しています。ついては、下記日時に弁明の機会を設けますので出頭してください。正当な理由なく出頭しない場合、弁明の機会を放棄したものとして取り扱います。</w:t>
      </w:r>
    </w:p>
    <w:p/>
    <w:tbl>
      <w:tblPr>
        <w:tblStyle w:val="TableGrid"/>
        <w:tblW w:type="auto" w:w="0"/>
        <w:tblLook w:firstColumn="1" w:firstRow="1" w:lastColumn="0" w:lastRow="0" w:noHBand="0" w:noVBand="1" w:val="04A0"/>
      </w:tblPr>
      <w:tblGrid>
        <w:gridCol w:w="4819"/>
        <w:gridCol w:w="4819"/>
      </w:tblGrid>
      <w:tr>
        <w:tc>
          <w:tcPr>
            <w:tcW w:type="dxa" w:w="4819"/>
          </w:tcPr>
          <w:p>
            <w:r/>
            <w:r>
              <w:rPr>
                <w:rFonts w:ascii="ＭＳ 明朝" w:hAnsi="ＭＳ 明朝" w:eastAsia="ＭＳ 明朝"/>
                <w:b/>
                <w:sz w:val="19"/>
              </w:rPr>
              <w:t>懲戒検討事由</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弁明機会の日時</w:t>
            </w:r>
          </w:p>
        </w:tc>
        <w:tc>
          <w:tcPr>
            <w:tcW w:type="dxa" w:w="4819"/>
          </w:tcPr>
          <w:p>
            <w:r/>
            <w:r>
              <w:rPr>
                <w:rFonts w:ascii="ＭＳ 明朝" w:hAnsi="ＭＳ 明朝" w:eastAsia="ＭＳ 明朝"/>
                <w:b w:val="0"/>
                <w:sz w:val="19"/>
              </w:rPr>
              <w:t>令和　年　月　日（　）　　:　　〜</w:t>
            </w:r>
          </w:p>
        </w:tc>
      </w:tr>
      <w:tr>
        <w:tc>
          <w:tcPr>
            <w:tcW w:type="dxa" w:w="4819"/>
          </w:tcPr>
          <w:p>
            <w:r/>
            <w:r>
              <w:rPr>
                <w:rFonts w:ascii="ＭＳ 明朝" w:hAnsi="ＭＳ 明朝" w:eastAsia="ＭＳ 明朝"/>
                <w:b/>
                <w:sz w:val="19"/>
              </w:rPr>
              <w:t>場所</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同席可能な者</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持参物</w:t>
            </w:r>
          </w:p>
        </w:tc>
        <w:tc>
          <w:tcPr>
            <w:tcW w:type="dxa" w:w="4819"/>
          </w:tcPr>
          <w:p>
            <w:r/>
            <w:r>
              <w:rPr>
                <w:rFonts w:ascii="ＭＳ 明朝" w:hAnsi="ＭＳ 明朝" w:eastAsia="ＭＳ 明朝"/>
                <w:b w:val="0"/>
                <w:sz w:val="19"/>
              </w:rPr>
            </w:r>
          </w:p>
        </w:tc>
      </w:tr>
    </w:tbl>
    <w:p>
      <w:r>
        <w:br w:type="page"/>
      </w:r>
    </w:p>
    <w:p>
      <w:pPr>
        <w:jc w:val="center"/>
      </w:pPr>
      <w:r>
        <w:rPr>
          <w:rFonts w:ascii="游ゴシック" w:hAnsi="游ゴシック" w:eastAsia="游ゴシック"/>
          <w:b/>
          <w:sz w:val="40"/>
        </w:rPr>
        <w:t>懲　戒　処　分　通　知　書</w:t>
      </w:r>
    </w:p>
    <w:p/>
    <w:p>
      <w:pPr>
        <w:jc w:val="right"/>
      </w:pPr>
      <w:r>
        <w:rPr>
          <w:rFonts w:ascii="ＭＳ 明朝" w:hAnsi="ＭＳ 明朝" w:eastAsia="ＭＳ 明朝"/>
          <w:b w:val="0"/>
          <w:sz w:val="22"/>
        </w:rPr>
        <w:t>令和　年　月　日</w:t>
      </w:r>
    </w:p>
    <w:p>
      <w:pPr>
        <w:jc w:val="right"/>
      </w:pPr>
      <w:r>
        <w:rPr>
          <w:rFonts w:ascii="ＭＳ 明朝" w:hAnsi="ＭＳ 明朝" w:eastAsia="ＭＳ 明朝"/>
          <w:b w:val="0"/>
          <w:sz w:val="22"/>
        </w:rPr>
        <w:t xml:space="preserve">　　　　　　　　　　殿</w:t>
      </w:r>
    </w:p>
    <w:p/>
    <w:p>
      <w:r>
        <w:rPr>
          <w:rFonts w:ascii="ＭＳ 明朝" w:hAnsi="ＭＳ 明朝" w:eastAsia="ＭＳ 明朝"/>
          <w:b w:val="0"/>
          <w:sz w:val="20"/>
        </w:rPr>
        <w:t>貴殿について、下記のとおり懲戒処分を行いますので通知します。</w:t>
      </w:r>
    </w:p>
    <w:p/>
    <w:tbl>
      <w:tblPr>
        <w:tblStyle w:val="TableGrid"/>
        <w:tblW w:type="auto" w:w="0"/>
        <w:tblLook w:firstColumn="1" w:firstRow="1" w:lastColumn="0" w:lastRow="0" w:noHBand="0" w:noVBand="1" w:val="04A0"/>
      </w:tblPr>
      <w:tblGrid>
        <w:gridCol w:w="4819"/>
        <w:gridCol w:w="4819"/>
      </w:tblGrid>
      <w:tr>
        <w:tc>
          <w:tcPr>
            <w:tcW w:type="dxa" w:w="4819"/>
          </w:tcPr>
          <w:p>
            <w:r/>
            <w:r>
              <w:rPr>
                <w:rFonts w:ascii="ＭＳ 明朝" w:hAnsi="ＭＳ 明朝" w:eastAsia="ＭＳ 明朝"/>
                <w:b/>
                <w:sz w:val="19"/>
              </w:rPr>
              <w:t>処分の種類</w:t>
            </w:r>
          </w:p>
        </w:tc>
        <w:tc>
          <w:tcPr>
            <w:tcW w:type="dxa" w:w="4819"/>
          </w:tcPr>
          <w:p>
            <w:r/>
            <w:r>
              <w:rPr>
                <w:rFonts w:ascii="ＭＳ 明朝" w:hAnsi="ＭＳ 明朝" w:eastAsia="ＭＳ 明朝"/>
                <w:b w:val="0"/>
                <w:sz w:val="19"/>
              </w:rPr>
              <w:t>☐譴責　☐減給　☐出勤停止　☐降格　☐諭旨解雇　☐懲戒解雇</w:t>
            </w:r>
          </w:p>
        </w:tc>
      </w:tr>
      <w:tr>
        <w:tc>
          <w:tcPr>
            <w:tcW w:type="dxa" w:w="4819"/>
          </w:tcPr>
          <w:p>
            <w:r/>
            <w:r>
              <w:rPr>
                <w:rFonts w:ascii="ＭＳ 明朝" w:hAnsi="ＭＳ 明朝" w:eastAsia="ＭＳ 明朝"/>
                <w:b/>
                <w:sz w:val="19"/>
              </w:rPr>
              <w:t>処分理由</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就業規則上の根拠</w:t>
            </w:r>
          </w:p>
        </w:tc>
        <w:tc>
          <w:tcPr>
            <w:tcW w:type="dxa" w:w="4819"/>
          </w:tcPr>
          <w:p>
            <w:r/>
            <w:r>
              <w:rPr>
                <w:rFonts w:ascii="ＭＳ 明朝" w:hAnsi="ＭＳ 明朝" w:eastAsia="ＭＳ 明朝"/>
                <w:b w:val="0"/>
                <w:sz w:val="19"/>
              </w:rPr>
              <w:t>就業規則第　条・第　条</w:t>
            </w:r>
          </w:p>
        </w:tc>
      </w:tr>
      <w:tr>
        <w:tc>
          <w:tcPr>
            <w:tcW w:type="dxa" w:w="4819"/>
          </w:tcPr>
          <w:p>
            <w:r/>
            <w:r>
              <w:rPr>
                <w:rFonts w:ascii="ＭＳ 明朝" w:hAnsi="ＭＳ 明朝" w:eastAsia="ＭＳ 明朝"/>
                <w:b/>
                <w:sz w:val="19"/>
              </w:rPr>
              <w:t>弁明の機会</w:t>
            </w:r>
          </w:p>
        </w:tc>
        <w:tc>
          <w:tcPr>
            <w:tcW w:type="dxa" w:w="4819"/>
          </w:tcPr>
          <w:p>
            <w:r/>
            <w:r>
              <w:rPr>
                <w:rFonts w:ascii="ＭＳ 明朝" w:hAnsi="ＭＳ 明朝" w:eastAsia="ＭＳ 明朝"/>
                <w:b w:val="0"/>
                <w:sz w:val="19"/>
              </w:rPr>
              <w:t>実施日：令和　年　月　日</w:t>
            </w:r>
          </w:p>
        </w:tc>
      </w:tr>
      <w:tr>
        <w:tc>
          <w:tcPr>
            <w:tcW w:type="dxa" w:w="4819"/>
          </w:tcPr>
          <w:p>
            <w:r/>
            <w:r>
              <w:rPr>
                <w:rFonts w:ascii="ＭＳ 明朝" w:hAnsi="ＭＳ 明朝" w:eastAsia="ＭＳ 明朝"/>
                <w:b/>
                <w:sz w:val="19"/>
              </w:rPr>
              <w:t>処分の内容・効力発生日</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異議申立ての方法</w:t>
            </w:r>
          </w:p>
        </w:tc>
        <w:tc>
          <w:tcPr>
            <w:tcW w:type="dxa" w:w="4819"/>
          </w:tcPr>
          <w:p>
            <w:r/>
            <w:r>
              <w:rPr>
                <w:rFonts w:ascii="ＭＳ 明朝" w:hAnsi="ＭＳ 明朝" w:eastAsia="ＭＳ 明朝"/>
                <w:b w:val="0"/>
                <w:sz w:val="19"/>
              </w:rPr>
            </w:r>
          </w:p>
        </w:tc>
      </w:tr>
    </w:tbl>
    <w:p/>
    <w:p>
      <w:pPr>
        <w:jc w:val="right"/>
      </w:pPr>
      <w:r>
        <w:rPr>
          <w:rFonts w:ascii="ＭＳ 明朝" w:hAnsi="ＭＳ 明朝" w:eastAsia="ＭＳ 明朝"/>
          <w:b w:val="0"/>
          <w:sz w:val="21"/>
        </w:rPr>
        <w:t>会社名・代表者名：　　　　　　　　　　　　㊞</w:t>
      </w:r>
    </w:p>
    <w:p>
      <w:r>
        <w:br w:type="page"/>
      </w:r>
    </w:p>
    <w:p>
      <w:pPr>
        <w:jc w:val="center"/>
      </w:pPr>
      <w:r>
        <w:rPr>
          <w:rFonts w:ascii="游ゴシック" w:hAnsi="游ゴシック" w:eastAsia="游ゴシック"/>
          <w:b/>
          <w:sz w:val="32"/>
        </w:rPr>
        <w:t>別紙：懲戒手続きパックの運用ガイド</w:t>
      </w:r>
    </w:p>
    <w:p>
      <w:r>
        <w:rPr>
          <w:rFonts w:ascii="游ゴシック" w:hAnsi="游ゴシック" w:eastAsia="游ゴシック"/>
          <w:b/>
          <w:color w:val="2C3E50"/>
          <w:sz w:val="22"/>
        </w:rPr>
        <w:t>1. これらの書式は「法律上の義務」ではない</w:t>
      </w:r>
    </w:p>
    <w:p>
      <w:r>
        <w:rPr>
          <w:rFonts w:ascii="ＭＳ 明朝" w:hAnsi="ＭＳ 明朝" w:eastAsia="ＭＳ 明朝"/>
          <w:b w:val="0"/>
          <w:sz w:val="19"/>
        </w:rPr>
        <w:t>注意指導書・弁明の機会付与通知書といった懲戒手続きの書式は、その作成・使用そのものを義務付ける労働基準法上の明文規定はありません。根拠となるのは労働契約法第15条であり、同条は「使用者が労働者を懲戒することができる場合において、当該懲戒が、当該懲戒に係る労働者の行為の性質及び態様その他の事情に照らして、客観的に合理的な理由を欠き、社会通念上相当であると認められない場合は、その権利を濫用したものとして、当該懲戒は、無効とする。」と定めるにとどまります。「弁明の機会を必ず与えなければならない」という条文はありません。</w:t>
      </w:r>
    </w:p>
    <w:p>
      <w:r>
        <w:rPr>
          <w:rFonts w:ascii="游ゴシック" w:hAnsi="游ゴシック" w:eastAsia="游ゴシック"/>
          <w:b/>
          <w:color w:val="2C3E50"/>
          <w:sz w:val="22"/>
        </w:rPr>
        <w:t>2. なぜ手続きの記録が重要か</w:t>
      </w:r>
    </w:p>
    <w:p>
      <w:r>
        <w:rPr>
          <w:rFonts w:ascii="ＭＳ 明朝" w:hAnsi="ＭＳ 明朝" w:eastAsia="ＭＳ 明朝"/>
          <w:b w:val="0"/>
          <w:sz w:val="19"/>
        </w:rPr>
        <w:t>懲戒処分をめぐる紛争では、労働契約法第15条の「客観的合理的理由」と「社会通念上の相当性」の有無が争点になります。裁判例の集積により、事前の注意指導の有無・弁明の機会の付与の有無は、この「相当性」を判断する重要な考慮要素とされる傾向があります。手続きを記録に残しておくことは、後日の紛争において会社側の対応が適正であったことを立証する材料になります。</w:t>
      </w:r>
    </w:p>
    <w:p>
      <w:r>
        <w:rPr>
          <w:rFonts w:ascii="游ゴシック" w:hAnsi="游ゴシック" w:eastAsia="游ゴシック"/>
          <w:b/>
          <w:color w:val="2C3E50"/>
          <w:sz w:val="22"/>
        </w:rPr>
        <w:t>3. 3書式の使い方の流れ</w:t>
      </w:r>
    </w:p>
    <w:p>
      <w:r>
        <w:rPr>
          <w:rFonts w:ascii="ＭＳ 明朝" w:hAnsi="ＭＳ 明朝" w:eastAsia="ＭＳ 明朝"/>
          <w:b w:val="0"/>
          <w:sz w:val="19"/>
        </w:rPr>
        <w:t>軽微な問題行動には、まず注意指導書で改善を求め、記録に残します。同様の問題が繰り返される、または問題の程度が重い場合は、懲戒処分を検討する前に弁明の機会付与通知書を交付し、本人の言い分を聴く機会を設けます。弁明の内容も踏まえて処分を決定し、懲戒処分通知書で正式に通知します。いきなり懲戒処分通知書のみを交付する運用は、後日「相当性を欠く」と判断されるリスクが高まります。</w:t>
      </w:r>
    </w:p>
    <w:p>
      <w:r>
        <w:rPr>
          <w:rFonts w:ascii="游ゴシック" w:hAnsi="游ゴシック" w:eastAsia="游ゴシック"/>
          <w:b/>
          <w:color w:val="2C3E50"/>
          <w:sz w:val="22"/>
        </w:rPr>
        <w:t>4. 就業規則の懲戒規定が前提</w:t>
      </w:r>
    </w:p>
    <w:p>
      <w:r>
        <w:rPr>
          <w:rFonts w:ascii="ＭＳ 明朝" w:hAnsi="ＭＳ 明朝" w:eastAsia="ＭＳ 明朝"/>
          <w:b w:val="0"/>
          <w:sz w:val="19"/>
        </w:rPr>
        <w:t>懲戒処分を行うには、就業規則に懲戒の事由・種類（譴責・減給・出勤停止・降格・諭旨解雇・懲戒解雇等）があらかじめ定められている必要があります。就業規則に懲戒規定がない場合、懲戒処分自体を行うことができません。本パックを使用する前に、就業規則の懲戒条項を確認してください。</w:t>
      </w:r>
    </w:p>
    <w:p>
      <w:r>
        <w:rPr>
          <w:rFonts w:ascii="游ゴシック" w:hAnsi="游ゴシック" w:eastAsia="游ゴシック"/>
          <w:b/>
          <w:color w:val="2C3E50"/>
          <w:sz w:val="22"/>
        </w:rPr>
        <w:t>5. 従業員数による違い</w:t>
      </w:r>
    </w:p>
    <w:p>
      <w:r>
        <w:rPr>
          <w:rFonts w:ascii="ＭＳ 明朝" w:hAnsi="ＭＳ 明朝" w:eastAsia="ＭＳ 明朝"/>
          <w:b w:val="0"/>
          <w:sz w:val="19"/>
        </w:rPr>
        <w:t>懲戒手続きの適正さが問われるのは、労働契約法第15条という民事上の権利濫用法理であり、事業場の従業員数による適用の違いはありません。ただし、懲戒の種類・事由を定める就業規則の作成・届出義務自体は、常時10人以上の労働者を使用する事業場が対象です（労働基準法第89条）。常時10人未満の事業場でも、懲戒規定を就業規則相当の書面に定めておくことをおすすめします。</w:t>
      </w:r>
    </w:p>
    <w:p/>
    <w:p>
      <w:r>
        <w:rPr>
          <w:rFonts w:ascii="ＭＳ 明朝" w:hAnsi="ＭＳ 明朝" w:eastAsia="ＭＳ 明朝"/>
          <w:b w:val="0"/>
          <w:color w:val="606060"/>
          <w:sz w:val="17"/>
        </w:rPr>
        <w:t>本書は一般的な情報提供を目的とするテンプレートです。法的助言を構成するものではありません。</w:t>
      </w:r>
    </w:p>
    <w:p>
      <w:r>
        <w:rPr>
          <w:rFonts w:ascii="ＭＳ 明朝" w:hAnsi="ＭＳ 明朝" w:eastAsia="ＭＳ 明朝"/>
          <w:b w:val="0"/>
          <w:color w:val="606060"/>
          <w:sz w:val="17"/>
        </w:rPr>
        <w:t>懲戒手続き（注意指導・弁明の機会付与）は判例法理に基づく実務上の慣行であり、これらの書式の使用自体を義務付ける労働基準法上の明文規定はありません。懲戒権の行使には労働契約法第15条により客観的合理的理由と社会通念上の相当性が求められます。</w:t>
      </w:r>
    </w:p>
    <w:sectPr w:rsidR="00FC693F" w:rsidRPr="0006063C" w:rsidSect="00034616">
      <w:pgSz w:w="11906" w:h="16838"/>
      <w:pgMar w:top="1417" w:right="1134" w:bottom="141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