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游ゴシック" w:hAnsi="游ゴシック" w:eastAsia="游ゴシック"/>
          <w:b/>
          <w:sz w:val="36"/>
        </w:rPr>
        <w:t>賃　金　台　帳</w:t>
      </w:r>
    </w:p>
    <w:p>
      <w:pPr>
        <w:jc w:val="center"/>
      </w:pPr>
      <w:r>
        <w:rPr>
          <w:rFonts w:ascii="ＭＳ 明朝" w:hAnsi="ＭＳ 明朝" w:eastAsia="ＭＳ 明朝"/>
          <w:b w:val="0"/>
          <w:color w:val="606060"/>
          <w:sz w:val="18"/>
        </w:rPr>
        <w:t>（労働基準法第108条・労働基準法施行規則第54条 準拠）</w:t>
      </w:r>
    </w:p>
    <w:p/>
    <w:p>
      <w:r>
        <w:rPr>
          <w:rFonts w:ascii="ＭＳ 明朝" w:hAnsi="ＭＳ 明朝" w:eastAsia="ＭＳ 明朝"/>
          <w:b w:val="0"/>
          <w:sz w:val="19"/>
        </w:rPr>
        <w:t>事業場名：　　　　　　　　　　　　賃金計算期間：　　年　月　日〜　　年　月　日　　支払日：　　年　月　日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>
        <w:tc>
          <w:tcPr>
            <w:tcW w:type="dxa" w:w="721"/>
          </w:tcPr>
          <w:p>
            <w:pPr>
              <w:jc w:val="center"/>
            </w:pPr>
            <w:r>
              <w:rPr>
                <w:rFonts w:ascii="ＭＳ ゴシック" w:hAnsi="ＭＳ ゴシック"/>
                <w:b/>
                <w:color w:val="1A5276"/>
                <w:sz w:val="16"/>
              </w:rPr>
              <w:t>氏名</w:t>
            </w:r>
          </w:p>
        </w:tc>
        <w:tc>
          <w:tcPr>
            <w:tcW w:type="dxa" w:w="721"/>
          </w:tcPr>
          <w:p>
            <w:pPr>
              <w:jc w:val="center"/>
            </w:pPr>
            <w:r>
              <w:rPr>
                <w:rFonts w:ascii="ＭＳ ゴシック" w:hAnsi="ＭＳ ゴシック"/>
                <w:b/>
                <w:color w:val="1A5276"/>
                <w:sz w:val="16"/>
              </w:rPr>
              <w:t>性別</w:t>
            </w:r>
          </w:p>
        </w:tc>
        <w:tc>
          <w:tcPr>
            <w:tcW w:type="dxa" w:w="721"/>
          </w:tcPr>
          <w:p>
            <w:pPr>
              <w:jc w:val="center"/>
            </w:pPr>
            <w:r>
              <w:rPr>
                <w:rFonts w:ascii="ＭＳ ゴシック" w:hAnsi="ＭＳ ゴシック"/>
                <w:b/>
                <w:color w:val="1A5276"/>
                <w:sz w:val="16"/>
              </w:rPr>
              <w:t>労働日数</w:t>
            </w:r>
          </w:p>
        </w:tc>
        <w:tc>
          <w:tcPr>
            <w:tcW w:type="dxa" w:w="721"/>
          </w:tcPr>
          <w:p>
            <w:pPr>
              <w:jc w:val="center"/>
            </w:pPr>
            <w:r>
              <w:rPr>
                <w:rFonts w:ascii="ＭＳ ゴシック" w:hAnsi="ＭＳ ゴシック"/>
                <w:b/>
                <w:color w:val="1A5276"/>
                <w:sz w:val="16"/>
              </w:rPr>
              <w:t>労働時間数</w:t>
            </w:r>
          </w:p>
        </w:tc>
        <w:tc>
          <w:tcPr>
            <w:tcW w:type="dxa" w:w="721"/>
          </w:tcPr>
          <w:p>
            <w:pPr>
              <w:jc w:val="center"/>
            </w:pPr>
            <w:r>
              <w:rPr>
                <w:rFonts w:ascii="ＭＳ ゴシック" w:hAnsi="ＭＳ ゴシック"/>
                <w:b/>
                <w:color w:val="1A5276"/>
                <w:sz w:val="16"/>
              </w:rPr>
              <w:t>時間外労働時間</w:t>
            </w:r>
          </w:p>
        </w:tc>
        <w:tc>
          <w:tcPr>
            <w:tcW w:type="dxa" w:w="721"/>
          </w:tcPr>
          <w:p>
            <w:pPr>
              <w:jc w:val="center"/>
            </w:pPr>
            <w:r>
              <w:rPr>
                <w:rFonts w:ascii="ＭＳ ゴシック" w:hAnsi="ＭＳ ゴシック"/>
                <w:b/>
                <w:color w:val="1A5276"/>
                <w:sz w:val="16"/>
              </w:rPr>
              <w:t>休日労働時間</w:t>
            </w:r>
          </w:p>
        </w:tc>
        <w:tc>
          <w:tcPr>
            <w:tcW w:type="dxa" w:w="721"/>
          </w:tcPr>
          <w:p>
            <w:pPr>
              <w:jc w:val="center"/>
            </w:pPr>
            <w:r>
              <w:rPr>
                <w:rFonts w:ascii="ＭＳ ゴシック" w:hAnsi="ＭＳ ゴシック"/>
                <w:b/>
                <w:color w:val="1A5276"/>
                <w:sz w:val="16"/>
              </w:rPr>
              <w:t>深夜労働時間</w:t>
            </w:r>
          </w:p>
        </w:tc>
        <w:tc>
          <w:tcPr>
            <w:tcW w:type="dxa" w:w="721"/>
          </w:tcPr>
          <w:p>
            <w:pPr>
              <w:jc w:val="center"/>
            </w:pPr>
            <w:r>
              <w:rPr>
                <w:rFonts w:ascii="ＭＳ ゴシック" w:hAnsi="ＭＳ ゴシック"/>
                <w:b/>
                <w:color w:val="1A5276"/>
                <w:sz w:val="16"/>
              </w:rPr>
              <w:t>基本給</w:t>
            </w:r>
          </w:p>
        </w:tc>
        <w:tc>
          <w:tcPr>
            <w:tcW w:type="dxa" w:w="721"/>
          </w:tcPr>
          <w:p>
            <w:pPr>
              <w:jc w:val="center"/>
            </w:pPr>
            <w:r>
              <w:rPr>
                <w:rFonts w:ascii="ＭＳ ゴシック" w:hAnsi="ＭＳ ゴシック"/>
                <w:b/>
                <w:color w:val="1A5276"/>
                <w:sz w:val="16"/>
              </w:rPr>
              <w:t>役職手当</w:t>
            </w:r>
          </w:p>
        </w:tc>
        <w:tc>
          <w:tcPr>
            <w:tcW w:type="dxa" w:w="721"/>
          </w:tcPr>
          <w:p>
            <w:pPr>
              <w:jc w:val="center"/>
            </w:pPr>
            <w:r>
              <w:rPr>
                <w:rFonts w:ascii="ＭＳ ゴシック" w:hAnsi="ＭＳ ゴシック"/>
                <w:b/>
                <w:color w:val="1A5276"/>
                <w:sz w:val="16"/>
              </w:rPr>
              <w:t>通勤手当</w:t>
            </w:r>
          </w:p>
        </w:tc>
        <w:tc>
          <w:tcPr>
            <w:tcW w:type="dxa" w:w="721"/>
          </w:tcPr>
          <w:p>
            <w:pPr>
              <w:jc w:val="center"/>
            </w:pPr>
            <w:r>
              <w:rPr>
                <w:rFonts w:ascii="ＭＳ ゴシック" w:hAnsi="ＭＳ ゴシック"/>
                <w:b/>
                <w:color w:val="1A5276"/>
                <w:sz w:val="16"/>
              </w:rPr>
              <w:t>時間外手当</w:t>
            </w:r>
          </w:p>
        </w:tc>
        <w:tc>
          <w:tcPr>
            <w:tcW w:type="dxa" w:w="721"/>
          </w:tcPr>
          <w:p>
            <w:pPr>
              <w:jc w:val="center"/>
            </w:pPr>
            <w:r>
              <w:rPr>
                <w:rFonts w:ascii="ＭＳ ゴシック" w:hAnsi="ＭＳ ゴシック"/>
                <w:b/>
                <w:color w:val="1A5276"/>
                <w:sz w:val="16"/>
              </w:rPr>
              <w:t>休日手当</w:t>
            </w:r>
          </w:p>
        </w:tc>
        <w:tc>
          <w:tcPr>
            <w:tcW w:type="dxa" w:w="721"/>
          </w:tcPr>
          <w:p>
            <w:pPr>
              <w:jc w:val="center"/>
            </w:pPr>
            <w:r>
              <w:rPr>
                <w:rFonts w:ascii="ＭＳ ゴシック" w:hAnsi="ＭＳ ゴシック"/>
                <w:b/>
                <w:color w:val="1A5276"/>
                <w:sz w:val="16"/>
              </w:rPr>
              <w:t>深夜手当</w:t>
            </w:r>
          </w:p>
        </w:tc>
        <w:tc>
          <w:tcPr>
            <w:tcW w:type="dxa" w:w="721"/>
          </w:tcPr>
          <w:p>
            <w:pPr>
              <w:jc w:val="center"/>
            </w:pPr>
            <w:r>
              <w:rPr>
                <w:rFonts w:ascii="ＭＳ ゴシック" w:hAnsi="ＭＳ ゴシック"/>
                <w:b/>
                <w:color w:val="1A5276"/>
                <w:sz w:val="16"/>
              </w:rPr>
              <w:t>支給合計</w:t>
            </w:r>
          </w:p>
        </w:tc>
        <w:tc>
          <w:tcPr>
            <w:tcW w:type="dxa" w:w="721"/>
          </w:tcPr>
          <w:p>
            <w:pPr>
              <w:jc w:val="center"/>
            </w:pPr>
            <w:r>
              <w:rPr>
                <w:rFonts w:ascii="ＭＳ ゴシック" w:hAnsi="ＭＳ ゴシック"/>
                <w:b/>
                <w:color w:val="1A5276"/>
                <w:sz w:val="16"/>
              </w:rPr>
              <w:t>健康保険料</w:t>
            </w:r>
          </w:p>
        </w:tc>
        <w:tc>
          <w:tcPr>
            <w:tcW w:type="dxa" w:w="721"/>
          </w:tcPr>
          <w:p>
            <w:pPr>
              <w:jc w:val="center"/>
            </w:pPr>
            <w:r>
              <w:rPr>
                <w:rFonts w:ascii="ＭＳ ゴシック" w:hAnsi="ＭＳ ゴシック"/>
                <w:b/>
                <w:color w:val="1A5276"/>
                <w:sz w:val="16"/>
              </w:rPr>
              <w:t>厚生年金</w:t>
            </w:r>
          </w:p>
        </w:tc>
        <w:tc>
          <w:tcPr>
            <w:tcW w:type="dxa" w:w="721"/>
          </w:tcPr>
          <w:p>
            <w:pPr>
              <w:jc w:val="center"/>
            </w:pPr>
            <w:r>
              <w:rPr>
                <w:rFonts w:ascii="ＭＳ ゴシック" w:hAnsi="ＭＳ ゴシック"/>
                <w:b/>
                <w:color w:val="1A5276"/>
                <w:sz w:val="16"/>
              </w:rPr>
              <w:t>雇用保険料</w:t>
            </w:r>
          </w:p>
        </w:tc>
        <w:tc>
          <w:tcPr>
            <w:tcW w:type="dxa" w:w="721"/>
          </w:tcPr>
          <w:p>
            <w:pPr>
              <w:jc w:val="center"/>
            </w:pPr>
            <w:r>
              <w:rPr>
                <w:rFonts w:ascii="ＭＳ ゴシック" w:hAnsi="ＭＳ ゴシック"/>
                <w:b/>
                <w:color w:val="1A5276"/>
                <w:sz w:val="16"/>
              </w:rPr>
              <w:t>所得税</w:t>
            </w:r>
          </w:p>
        </w:tc>
        <w:tc>
          <w:tcPr>
            <w:tcW w:type="dxa" w:w="721"/>
          </w:tcPr>
          <w:p>
            <w:pPr>
              <w:jc w:val="center"/>
            </w:pPr>
            <w:r>
              <w:rPr>
                <w:rFonts w:ascii="ＭＳ ゴシック" w:hAnsi="ＭＳ ゴシック"/>
                <w:b/>
                <w:color w:val="1A5276"/>
                <w:sz w:val="16"/>
              </w:rPr>
              <w:t>住民税</w:t>
            </w:r>
          </w:p>
        </w:tc>
        <w:tc>
          <w:tcPr>
            <w:tcW w:type="dxa" w:w="721"/>
          </w:tcPr>
          <w:p>
            <w:pPr>
              <w:jc w:val="center"/>
            </w:pPr>
            <w:r>
              <w:rPr>
                <w:rFonts w:ascii="ＭＳ ゴシック" w:hAnsi="ＭＳ ゴシック"/>
                <w:b/>
                <w:color w:val="1A5276"/>
                <w:sz w:val="16"/>
              </w:rPr>
              <w:t>控除合計</w:t>
            </w:r>
          </w:p>
        </w:tc>
        <w:tc>
          <w:tcPr>
            <w:tcW w:type="dxa" w:w="721"/>
          </w:tcPr>
          <w:p>
            <w:pPr>
              <w:jc w:val="center"/>
            </w:pPr>
            <w:r>
              <w:rPr>
                <w:rFonts w:ascii="ＭＳ ゴシック" w:hAnsi="ＭＳ ゴシック"/>
                <w:b/>
                <w:color w:val="1A5276"/>
                <w:sz w:val="16"/>
              </w:rPr>
              <w:t>差引支給額</w:t>
            </w:r>
          </w:p>
        </w:tc>
      </w:tr>
      <w:tr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</w:tr>
      <w:tr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</w:tr>
      <w:tr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</w:tr>
      <w:tr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</w:tr>
      <w:tr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  <w:tc>
          <w:tcPr>
            <w:tcW w:type="dxa" w:w="721"/>
          </w:tcPr>
          <w:p/>
        </w:tc>
      </w:tr>
    </w:tbl>
    <w:p/>
    <w:p>
      <w:r>
        <w:rPr>
          <w:rFonts w:ascii="ＭＳ 明朝" w:hAnsi="ＭＳ 明朝"/>
          <w:sz w:val="15"/>
        </w:rPr>
        <w:t>【記載事項の根拠】 氏名・性別・賃金計算期間・労働日数・労働時間数・時間外/休日/深夜の各労働時間数・基本給/手当等の種類ごとの額・控除額の8項目＝労働基準法施行規則第54条1項。日雇い労働者（1箇月超継続使用者を除く）は賃金計算期間の記入不要（同条4項）。管理監督者等・高度プロフェッショナル制度対象者は労働時間数・時間外等の各時間数の記入不要（同条5項）。保存期間：労基法109条により5年間（附則143条の経過措置により当分の間3年間）。</w:t>
      </w:r>
    </w:p>
    <w:sectPr w:rsidR="00FC693F" w:rsidRPr="0006063C" w:rsidSect="00034616">
      <w:pgSz w:w="16838" w:h="11906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